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2753360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42E23" w:rsidRPr="00642E23">
        <w:rPr>
          <w:color w:val="000000"/>
          <w:sz w:val="24"/>
          <w:szCs w:val="24"/>
          <w:rtl/>
        </w:rPr>
        <w:t>19/ 1/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642E2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642E23" w:rsidRPr="00642E23" w:rsidRDefault="00642E23" w:rsidP="00642E23">
      <w:pPr>
        <w:tabs>
          <w:tab w:val="left" w:pos="565"/>
          <w:tab w:val="left" w:pos="707"/>
        </w:tabs>
        <w:spacing w:line="244" w:lineRule="auto"/>
        <w:ind w:left="-341" w:right="-284" w:firstLine="282"/>
        <w:jc w:val="center"/>
        <w:outlineLvl w:val="0"/>
        <w:rPr>
          <w:rFonts w:eastAsia="Calibri" w:hint="cs"/>
          <w:b/>
          <w:bCs/>
          <w:color w:val="006600"/>
          <w:sz w:val="34"/>
          <w:szCs w:val="34"/>
          <w:rtl/>
        </w:rPr>
      </w:pPr>
      <w:r w:rsidRPr="00642E23">
        <w:rPr>
          <w:rFonts w:eastAsia="Calibri" w:hint="cs"/>
          <w:b/>
          <w:bCs/>
          <w:color w:val="006600"/>
          <w:sz w:val="34"/>
          <w:szCs w:val="34"/>
          <w:rtl/>
        </w:rPr>
        <w:t>(وقفاتٌ مع آيات)</w:t>
      </w:r>
    </w:p>
    <w:p w:rsidR="00642E23" w:rsidRDefault="00642E23" w:rsidP="00642E23">
      <w:pPr>
        <w:tabs>
          <w:tab w:val="left" w:pos="565"/>
        </w:tabs>
        <w:spacing w:beforeLines="20" w:before="48" w:afterLines="20" w:after="48" w:line="244" w:lineRule="auto"/>
        <w:ind w:firstLine="282"/>
        <w:rPr>
          <w:rFonts w:eastAsia="Calibri"/>
          <w:b/>
          <w:bCs/>
          <w:color w:val="000000"/>
          <w:sz w:val="32"/>
          <w:szCs w:val="32"/>
          <w:rtl/>
        </w:rPr>
      </w:pPr>
      <w:r w:rsidRPr="00642E23">
        <w:rPr>
          <w:rFonts w:eastAsia="Calibri" w:hint="cs"/>
          <w:color w:val="000000"/>
          <w:sz w:val="32"/>
          <w:szCs w:val="32"/>
          <w:rtl/>
        </w:rPr>
        <w:t xml:space="preserve">قال الله تعالى في سورة التوبة: </w:t>
      </w:r>
      <w:r w:rsidRPr="00642E23">
        <w:rPr>
          <w:rFonts w:ascii="Times New Roman" w:eastAsia="Calibri" w:hAnsi="Times New Roman" w:cs="Times New Roman"/>
          <w:color w:val="006600"/>
          <w:sz w:val="28"/>
          <w:szCs w:val="28"/>
          <w:rtl/>
        </w:rPr>
        <w:t>﴿</w:t>
      </w:r>
      <w:r w:rsidRPr="00642E23">
        <w:rPr>
          <w:rFonts w:eastAsia="Calibri" w:cs="DecoType Naskh"/>
          <w:color w:val="006600"/>
          <w:sz w:val="28"/>
          <w:szCs w:val="28"/>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(111) التَّائِبُونَ الْعَابِدُونَ الْحَامِدُونَ السَّائِحُونَ الرَّاكِعُونَ السَّاجِدُونَ الْآمِرُونَ بِالْمَعْرُوفِ وَالنَّاهُونَ عَنِ الْمُنْكَرِ وَالْحَافِظُونَ لِحُدُودِ اللَّهِ وَبَشِّرِ الْمُؤْمِنِينَ</w:t>
      </w:r>
      <w:r w:rsidRPr="00642E23">
        <w:rPr>
          <w:rFonts w:ascii="Times New Roman" w:eastAsia="Calibri" w:hAnsi="Times New Roman" w:cs="Times New Roman"/>
          <w:color w:val="006600"/>
          <w:sz w:val="28"/>
          <w:szCs w:val="28"/>
          <w:rtl/>
        </w:rPr>
        <w:t>﴾</w:t>
      </w:r>
      <w:r w:rsidRPr="00642E23">
        <w:rPr>
          <w:rFonts w:eastAsia="Calibri" w:hint="cs"/>
          <w:color w:val="000000"/>
          <w:sz w:val="28"/>
          <w:szCs w:val="28"/>
          <w:rtl/>
        </w:rPr>
        <w:t xml:space="preserve"> </w:t>
      </w:r>
      <w:r w:rsidRPr="00642E23">
        <w:rPr>
          <w:rFonts w:eastAsia="Calibri" w:hint="cs"/>
          <w:color w:val="000000"/>
          <w:sz w:val="24"/>
          <w:szCs w:val="24"/>
          <w:rtl/>
        </w:rPr>
        <w:t>[التوبة: 111- 112]</w:t>
      </w:r>
      <w:r w:rsidRPr="00642E23">
        <w:rPr>
          <w:rFonts w:eastAsia="Calibri" w:hint="cs"/>
          <w:color w:val="000000"/>
          <w:sz w:val="32"/>
          <w:szCs w:val="32"/>
          <w:rtl/>
        </w:rPr>
        <w:t>.</w:t>
      </w:r>
    </w:p>
    <w:p w:rsidR="00642E23" w:rsidRPr="00642E23" w:rsidRDefault="00642E23" w:rsidP="00642E23">
      <w:pPr>
        <w:tabs>
          <w:tab w:val="left" w:pos="565"/>
        </w:tabs>
        <w:spacing w:beforeLines="20" w:before="48" w:afterLines="20" w:after="48" w:line="244" w:lineRule="auto"/>
        <w:ind w:firstLine="282"/>
        <w:rPr>
          <w:rFonts w:eastAsia="Calibri" w:hint="cs"/>
          <w:color w:val="000000"/>
          <w:sz w:val="32"/>
          <w:szCs w:val="32"/>
          <w:rtl/>
        </w:rPr>
      </w:pPr>
      <w:r w:rsidRPr="00642E23">
        <w:rPr>
          <w:rFonts w:eastAsia="Calibri" w:hint="cs"/>
          <w:b/>
          <w:bCs/>
          <w:color w:val="000000"/>
          <w:sz w:val="32"/>
          <w:szCs w:val="32"/>
          <w:rtl/>
        </w:rPr>
        <w:t xml:space="preserve">الوقفة الأولى: في الآية الأولى مبايعةٌ بين الله وبين المؤمنين: </w:t>
      </w:r>
      <w:r w:rsidRPr="00642E23">
        <w:rPr>
          <w:rFonts w:eastAsia="Calibri" w:hint="cs"/>
          <w:color w:val="000000"/>
          <w:sz w:val="32"/>
          <w:szCs w:val="32"/>
          <w:rtl/>
        </w:rPr>
        <w:t xml:space="preserve">اشترى الله سبحانه فيها من المؤمنين بذلَ أنفسهم وأموالهم في طاعته، واستهلاكَها في مرضاته، وأعطاهم سبحانه الجنة عوضاً عنها إذا فعلوا ذلك، وهو عوض عظيم لا يدانيه المعوَّض ولا يقاس به، فأجرى ذلك على مجاز ما </w:t>
      </w:r>
      <w:proofErr w:type="spellStart"/>
      <w:r w:rsidRPr="00642E23">
        <w:rPr>
          <w:rFonts w:eastAsia="Calibri" w:hint="cs"/>
          <w:color w:val="000000"/>
          <w:sz w:val="32"/>
          <w:szCs w:val="32"/>
          <w:rtl/>
        </w:rPr>
        <w:t>يتعارفونه</w:t>
      </w:r>
      <w:proofErr w:type="spellEnd"/>
      <w:r w:rsidRPr="00642E23">
        <w:rPr>
          <w:rFonts w:eastAsia="Calibri" w:hint="cs"/>
          <w:color w:val="000000"/>
          <w:sz w:val="32"/>
          <w:szCs w:val="32"/>
          <w:rtl/>
        </w:rPr>
        <w:t xml:space="preserve"> في البيع والشراء، فمن العبد تسليم النفس والمال، ومن الله الثواب والنوال فسمي هذا شراء. </w:t>
      </w:r>
    </w:p>
    <w:p w:rsidR="00642E23" w:rsidRPr="00642E23" w:rsidRDefault="00642E23" w:rsidP="00642E23">
      <w:pPr>
        <w:tabs>
          <w:tab w:val="left" w:pos="565"/>
        </w:tabs>
        <w:spacing w:beforeLines="20" w:before="48" w:afterLines="20" w:after="48" w:line="244" w:lineRule="auto"/>
        <w:ind w:firstLine="282"/>
        <w:rPr>
          <w:rFonts w:eastAsia="Calibri" w:hint="cs"/>
          <w:color w:val="000000"/>
          <w:sz w:val="32"/>
          <w:szCs w:val="32"/>
          <w:rtl/>
        </w:rPr>
      </w:pPr>
      <w:r w:rsidRPr="00642E23">
        <w:rPr>
          <w:rFonts w:eastAsia="Calibri" w:hint="cs"/>
          <w:b/>
          <w:bCs/>
          <w:color w:val="000000"/>
          <w:sz w:val="32"/>
          <w:szCs w:val="32"/>
          <w:rtl/>
        </w:rPr>
        <w:t>ومعنى بيعِ نفسك ومالك لله:</w:t>
      </w:r>
      <w:r w:rsidRPr="00642E23">
        <w:rPr>
          <w:rFonts w:eastAsia="Calibri" w:hint="cs"/>
          <w:color w:val="000000"/>
          <w:sz w:val="32"/>
          <w:szCs w:val="32"/>
          <w:rtl/>
        </w:rPr>
        <w:t xml:space="preserve"> ألا تتصرف فيهما إلا بما يأمر به الله تعالى </w:t>
      </w:r>
      <w:proofErr w:type="spellStart"/>
      <w:r w:rsidRPr="00642E23">
        <w:rPr>
          <w:rFonts w:eastAsia="Calibri" w:hint="cs"/>
          <w:color w:val="000000"/>
          <w:sz w:val="32"/>
          <w:szCs w:val="32"/>
          <w:rtl/>
        </w:rPr>
        <w:t>ويرضاه</w:t>
      </w:r>
      <w:proofErr w:type="spellEnd"/>
      <w:r w:rsidRPr="00642E23">
        <w:rPr>
          <w:rFonts w:eastAsia="Calibri" w:hint="cs"/>
          <w:color w:val="000000"/>
          <w:sz w:val="32"/>
          <w:szCs w:val="32"/>
          <w:rtl/>
        </w:rPr>
        <w:t>، فتجمع المال من حله وتنفقه في محله، لا تمتد يدك إلى حرام ولا تنفق قرشاً في حرام، تصرف أوقاتك فيما أباح واستحب وفرض، فلا يراك في زمان إلا حيث أمر ولا يراك في مكان إلا حيث رضي، حياتك مصروفة في طاعته ومالك مبذول في خدمته، وإذا دعاك داعي الجهاد بذلت مالك وروحك ونثرتهما بين يديه</w:t>
      </w:r>
      <w:r>
        <w:rPr>
          <w:rFonts w:eastAsia="Calibri" w:hint="cs"/>
          <w:color w:val="000000"/>
          <w:sz w:val="32"/>
          <w:szCs w:val="32"/>
          <w:rtl/>
        </w:rPr>
        <w:t xml:space="preserve">، </w:t>
      </w:r>
      <w:r w:rsidRPr="00642E23">
        <w:rPr>
          <w:rFonts w:eastAsia="Calibri" w:hint="cs"/>
          <w:color w:val="000000"/>
          <w:sz w:val="32"/>
          <w:szCs w:val="32"/>
          <w:rtl/>
        </w:rPr>
        <w:t xml:space="preserve">فمن باع اللهَ تعالى أربح اللهُ بيعته، ومن صدق اللهَ أنجح الله طلِبَتَه </w:t>
      </w:r>
      <w:r w:rsidRPr="00642E23">
        <w:rPr>
          <w:rFonts w:ascii="Times New Roman" w:eastAsia="Calibri" w:hAnsi="Times New Roman" w:cs="Times New Roman"/>
          <w:color w:val="006600"/>
          <w:sz w:val="28"/>
          <w:szCs w:val="28"/>
          <w:rtl/>
        </w:rPr>
        <w:t>﴿‌</w:t>
      </w:r>
      <w:r w:rsidRPr="00642E23">
        <w:rPr>
          <w:rFonts w:eastAsia="Calibri" w:cs="DecoType Naskh"/>
          <w:color w:val="006600"/>
          <w:sz w:val="28"/>
          <w:szCs w:val="28"/>
          <w:rtl/>
        </w:rPr>
        <w:t>فَاسْتَبْشِرُوا ‌بِبَيْعِكُمُ ‌الَّذِي ‌بَايَعْتُمْ ‌بِهِ</w:t>
      </w:r>
      <w:r w:rsidRPr="00642E23">
        <w:rPr>
          <w:rFonts w:ascii="Times New Roman" w:eastAsia="Calibri" w:hAnsi="Times New Roman" w:cs="Times New Roman"/>
          <w:color w:val="006600"/>
          <w:sz w:val="28"/>
          <w:szCs w:val="28"/>
          <w:rtl/>
        </w:rPr>
        <w:t>﴾</w:t>
      </w:r>
      <w:r w:rsidRPr="00642E23">
        <w:rPr>
          <w:rFonts w:eastAsia="Calibri" w:cs="DecoType Naskh"/>
          <w:color w:val="006600"/>
          <w:sz w:val="28"/>
          <w:szCs w:val="28"/>
          <w:rtl/>
        </w:rPr>
        <w:t xml:space="preserve"> </w:t>
      </w:r>
      <w:r w:rsidRPr="00642E23">
        <w:rPr>
          <w:rFonts w:eastAsia="Calibri" w:hint="cs"/>
          <w:color w:val="000000"/>
          <w:sz w:val="32"/>
          <w:szCs w:val="32"/>
          <w:rtl/>
        </w:rPr>
        <w:t>[التوبة: 111]</w:t>
      </w:r>
      <w:r w:rsidR="00E73E36">
        <w:rPr>
          <w:rFonts w:eastAsia="Calibri" w:hint="cs"/>
          <w:color w:val="000000"/>
          <w:sz w:val="32"/>
          <w:szCs w:val="32"/>
          <w:rtl/>
        </w:rPr>
        <w:t>.</w:t>
      </w:r>
    </w:p>
    <w:p w:rsidR="00642E23" w:rsidRPr="00642E23" w:rsidRDefault="00642E23" w:rsidP="00642E23">
      <w:pPr>
        <w:tabs>
          <w:tab w:val="left" w:pos="565"/>
        </w:tabs>
        <w:spacing w:beforeLines="20" w:before="48" w:afterLines="20" w:after="48" w:line="244" w:lineRule="auto"/>
        <w:ind w:firstLine="282"/>
        <w:rPr>
          <w:rFonts w:eastAsia="Calibri" w:hint="cs"/>
          <w:color w:val="000000"/>
          <w:sz w:val="32"/>
          <w:szCs w:val="32"/>
          <w:rtl/>
        </w:rPr>
      </w:pPr>
      <w:r w:rsidRPr="00642E23">
        <w:rPr>
          <w:rFonts w:eastAsia="Calibri" w:hint="cs"/>
          <w:b/>
          <w:bCs/>
          <w:color w:val="000000"/>
          <w:sz w:val="32"/>
          <w:szCs w:val="32"/>
          <w:rtl/>
        </w:rPr>
        <w:t>الوقفة الثانية: الآية الثانية:</w:t>
      </w:r>
      <w:r w:rsidRPr="00642E23">
        <w:rPr>
          <w:rFonts w:eastAsia="Calibri" w:hint="cs"/>
          <w:color w:val="000000"/>
          <w:sz w:val="32"/>
          <w:szCs w:val="32"/>
          <w:rtl/>
        </w:rPr>
        <w:t xml:space="preserve"> </w:t>
      </w:r>
      <w:r w:rsidRPr="00642E23">
        <w:rPr>
          <w:rFonts w:ascii="Times New Roman" w:eastAsia="Calibri" w:hAnsi="Times New Roman" w:cs="Times New Roman"/>
          <w:color w:val="006600"/>
          <w:sz w:val="28"/>
          <w:szCs w:val="28"/>
          <w:rtl/>
        </w:rPr>
        <w:t>﴿‌</w:t>
      </w:r>
      <w:r w:rsidRPr="00642E23">
        <w:rPr>
          <w:rFonts w:eastAsia="Calibri" w:cs="DecoType Naskh"/>
          <w:color w:val="006600"/>
          <w:sz w:val="28"/>
          <w:szCs w:val="28"/>
          <w:rtl/>
        </w:rPr>
        <w:t>التَّائِبُونَ ‌الْعَابِدُونَ ‌الْحَامِدُونَ ‌السَّائِحُونَ الرَّاكِعُونَ السَّاجِدُونَ الْآمِرُونَ بِالْمَعْرُوفِ وَالنَّاهُونَ عَنِ الْمُنْكَرِ وَالْحَافِظُونَ لِحُدُودِ اللَّهِ وَبَشِّرِ الْمُؤْمِنِينَ</w:t>
      </w:r>
      <w:r w:rsidRPr="00642E23">
        <w:rPr>
          <w:rFonts w:ascii="Times New Roman" w:eastAsia="Calibri" w:hAnsi="Times New Roman" w:cs="Times New Roman"/>
          <w:color w:val="006600"/>
          <w:sz w:val="28"/>
          <w:szCs w:val="28"/>
          <w:rtl/>
        </w:rPr>
        <w:t>﴾</w:t>
      </w:r>
      <w:r w:rsidRPr="00642E23">
        <w:rPr>
          <w:rFonts w:eastAsia="Calibri" w:hint="cs"/>
          <w:color w:val="000000"/>
          <w:sz w:val="32"/>
          <w:szCs w:val="32"/>
          <w:rtl/>
        </w:rPr>
        <w:t xml:space="preserve"> [التوبة: 112] قيل: إنها صفات للمجاهدين وشروط لهم، وقيل: بل هي صفات لكمّل المؤمنين ذكرها الله حتى يتسابق جميع المؤمنين إليها. </w:t>
      </w:r>
    </w:p>
    <w:p w:rsidR="00642E23" w:rsidRPr="00642E23" w:rsidRDefault="00642E23" w:rsidP="00E73E36">
      <w:pPr>
        <w:tabs>
          <w:tab w:val="left" w:pos="565"/>
        </w:tabs>
        <w:spacing w:beforeLines="20" w:before="48" w:afterLines="20" w:after="48" w:line="244" w:lineRule="auto"/>
        <w:ind w:firstLine="282"/>
        <w:rPr>
          <w:rFonts w:eastAsia="Calibri" w:hint="cs"/>
          <w:color w:val="000000"/>
          <w:sz w:val="32"/>
          <w:szCs w:val="32"/>
          <w:rtl/>
        </w:rPr>
      </w:pPr>
      <w:r w:rsidRPr="00642E23">
        <w:rPr>
          <w:rFonts w:eastAsia="Calibri" w:hint="cs"/>
          <w:color w:val="000000"/>
          <w:sz w:val="32"/>
          <w:szCs w:val="32"/>
          <w:rtl/>
        </w:rPr>
        <w:t xml:space="preserve">وفي </w:t>
      </w:r>
      <w:r w:rsidRPr="00642E23">
        <w:rPr>
          <w:rFonts w:eastAsia="Calibri" w:hint="cs"/>
          <w:b/>
          <w:bCs/>
          <w:color w:val="000000"/>
          <w:sz w:val="32"/>
          <w:szCs w:val="32"/>
          <w:rtl/>
        </w:rPr>
        <w:t>القول الأول</w:t>
      </w:r>
      <w:r w:rsidRPr="00642E23">
        <w:rPr>
          <w:rFonts w:eastAsia="Calibri" w:hint="cs"/>
          <w:color w:val="000000"/>
          <w:sz w:val="32"/>
          <w:szCs w:val="32"/>
          <w:rtl/>
        </w:rPr>
        <w:t xml:space="preserve">: قال عبد الله بن عمر </w:t>
      </w:r>
      <w:r w:rsidR="00E73E36">
        <w:rPr>
          <w:rFonts w:eastAsia="Calibri" w:hint="cs"/>
          <w:color w:val="000000"/>
          <w:sz w:val="32"/>
          <w:szCs w:val="32"/>
        </w:rPr>
        <w:sym w:font="AGA Arabesque" w:char="F074"/>
      </w:r>
      <w:r w:rsidR="00E73E36">
        <w:rPr>
          <w:rFonts w:eastAsia="Calibri" w:hint="cs"/>
          <w:color w:val="000000"/>
          <w:sz w:val="32"/>
          <w:szCs w:val="32"/>
          <w:rtl/>
        </w:rPr>
        <w:t xml:space="preserve"> </w:t>
      </w:r>
      <w:r w:rsidRPr="00642E23">
        <w:rPr>
          <w:rFonts w:eastAsia="Calibri" w:hint="cs"/>
          <w:color w:val="000000"/>
          <w:sz w:val="32"/>
          <w:szCs w:val="32"/>
          <w:rtl/>
        </w:rPr>
        <w:t xml:space="preserve">لرجل قال له: أريد أن أبيع نفسي من الله فأجاهد حتى أقتل، فقال له: ويحك وأين الشروط؟ قال: فما شروطها؟ قال قوله تعالى: </w:t>
      </w:r>
      <w:r w:rsidRPr="00642E23">
        <w:rPr>
          <w:rFonts w:ascii="Times New Roman" w:eastAsia="Calibri" w:hAnsi="Times New Roman" w:cs="Times New Roman"/>
          <w:color w:val="006600"/>
          <w:sz w:val="28"/>
          <w:szCs w:val="28"/>
          <w:rtl/>
        </w:rPr>
        <w:t>﴿‌</w:t>
      </w:r>
      <w:r w:rsidRPr="00642E23">
        <w:rPr>
          <w:rFonts w:eastAsia="Calibri" w:cs="DecoType Naskh"/>
          <w:color w:val="006600"/>
          <w:sz w:val="28"/>
          <w:szCs w:val="28"/>
          <w:rtl/>
        </w:rPr>
        <w:t>التَّائِبُونَ ‌الْعَابِدُونَ ‌الْحَامِدُونَ ‌السَّائِحُونَ</w:t>
      </w:r>
      <w:r w:rsidR="00E73E36">
        <w:rPr>
          <w:rFonts w:eastAsia="Calibri" w:cs="DecoType Naskh" w:hint="cs"/>
          <w:color w:val="006600"/>
          <w:sz w:val="28"/>
          <w:szCs w:val="28"/>
          <w:rtl/>
        </w:rPr>
        <w:t>...</w:t>
      </w:r>
      <w:r w:rsidRPr="00642E23">
        <w:rPr>
          <w:rFonts w:ascii="Times New Roman" w:eastAsia="Calibri" w:hAnsi="Times New Roman" w:cs="Times New Roman"/>
          <w:color w:val="006600"/>
          <w:sz w:val="28"/>
          <w:szCs w:val="28"/>
          <w:rtl/>
        </w:rPr>
        <w:t>﴾</w:t>
      </w:r>
      <w:r w:rsidRPr="00642E23">
        <w:rPr>
          <w:rFonts w:eastAsia="Calibri" w:hint="cs"/>
          <w:color w:val="000000"/>
          <w:sz w:val="28"/>
          <w:szCs w:val="28"/>
          <w:rtl/>
        </w:rPr>
        <w:t xml:space="preserve"> </w:t>
      </w:r>
      <w:r w:rsidRPr="00642E23">
        <w:rPr>
          <w:rFonts w:eastAsia="Calibri" w:hint="cs"/>
          <w:color w:val="000000"/>
          <w:sz w:val="32"/>
          <w:szCs w:val="32"/>
          <w:rtl/>
        </w:rPr>
        <w:t xml:space="preserve">فمن لم يجاهدْ نفسه بالتوبة، ويزكيها بالعبادة، ويشغلْها بالصلاة والصوم، ويحملْها على الأمر بالمعروف والنهي عن المنكر، فأنى له قراعُ الأسنة ومبارزةُ العدو في ساح القتال.  </w:t>
      </w:r>
    </w:p>
    <w:p w:rsidR="00642E23" w:rsidRPr="00642E23" w:rsidRDefault="00642E23" w:rsidP="00E73E36">
      <w:pPr>
        <w:tabs>
          <w:tab w:val="left" w:pos="565"/>
        </w:tabs>
        <w:spacing w:beforeLines="20" w:before="48" w:afterLines="20" w:after="48" w:line="244" w:lineRule="auto"/>
        <w:ind w:firstLine="282"/>
        <w:rPr>
          <w:rFonts w:eastAsia="Calibri" w:hint="cs"/>
          <w:color w:val="000000"/>
          <w:sz w:val="32"/>
          <w:szCs w:val="32"/>
          <w:rtl/>
        </w:rPr>
      </w:pPr>
      <w:r w:rsidRPr="00642E23">
        <w:rPr>
          <w:rFonts w:eastAsia="Calibri" w:hint="cs"/>
          <w:color w:val="000000"/>
          <w:sz w:val="32"/>
          <w:szCs w:val="32"/>
          <w:rtl/>
        </w:rPr>
        <w:t xml:space="preserve">وفي </w:t>
      </w:r>
      <w:r w:rsidRPr="00642E23">
        <w:rPr>
          <w:rFonts w:eastAsia="Calibri" w:hint="cs"/>
          <w:b/>
          <w:bCs/>
          <w:color w:val="000000"/>
          <w:sz w:val="32"/>
          <w:szCs w:val="32"/>
          <w:rtl/>
        </w:rPr>
        <w:t>القول الثاني</w:t>
      </w:r>
      <w:r w:rsidRPr="00642E23">
        <w:rPr>
          <w:rFonts w:eastAsia="Calibri" w:hint="cs"/>
          <w:color w:val="000000"/>
          <w:sz w:val="32"/>
          <w:szCs w:val="32"/>
          <w:rtl/>
        </w:rPr>
        <w:t xml:space="preserve">: إنها صفات لكمّل المؤمنين ذكرها الله حتى يتسابق </w:t>
      </w:r>
      <w:r w:rsidR="00386F08">
        <w:rPr>
          <w:rFonts w:eastAsia="Calibri" w:hint="cs"/>
          <w:color w:val="000000"/>
          <w:sz w:val="32"/>
          <w:szCs w:val="32"/>
          <w:rtl/>
        </w:rPr>
        <w:t>ال</w:t>
      </w:r>
      <w:r w:rsidRPr="00642E23">
        <w:rPr>
          <w:rFonts w:eastAsia="Calibri" w:hint="cs"/>
          <w:color w:val="000000"/>
          <w:sz w:val="32"/>
          <w:szCs w:val="32"/>
          <w:rtl/>
        </w:rPr>
        <w:t>جميع إليها</w:t>
      </w:r>
      <w:r w:rsidR="00E73E36">
        <w:rPr>
          <w:rFonts w:eastAsia="Calibri" w:hint="cs"/>
          <w:color w:val="000000"/>
          <w:sz w:val="32"/>
          <w:szCs w:val="32"/>
          <w:rtl/>
        </w:rPr>
        <w:t xml:space="preserve">، </w:t>
      </w:r>
      <w:r w:rsidRPr="00642E23">
        <w:rPr>
          <w:rFonts w:eastAsia="Calibri" w:hint="cs"/>
          <w:color w:val="000000"/>
          <w:sz w:val="32"/>
          <w:szCs w:val="32"/>
          <w:rtl/>
        </w:rPr>
        <w:t>قال أحد العلماء: إنه نص رهيب! يكشف عن حقيقة العلاقة التي تربط المؤمنين بالله تعالى، وعن حقيقة البيعة التي أعطوها بإسلامهم طوال الحياة؛ فمن بايع هذه البيعة ووفى بها فهو المؤمن الحق الذي ينطبق عليه وصف (المؤمن) وتتمثل فيه حقيقة الإيمان، وإلا فهي دعوى تحتاج إلى التصديق والتحقيق!</w:t>
      </w:r>
    </w:p>
    <w:p w:rsidR="00642E23" w:rsidRPr="00642E23" w:rsidRDefault="00E73E36" w:rsidP="00642E23">
      <w:pPr>
        <w:tabs>
          <w:tab w:val="left" w:pos="565"/>
        </w:tabs>
        <w:spacing w:beforeLines="20" w:before="48" w:afterLines="20" w:after="48" w:line="244" w:lineRule="auto"/>
        <w:ind w:firstLine="282"/>
        <w:rPr>
          <w:rFonts w:eastAsia="Calibri" w:hint="cs"/>
          <w:color w:val="000000"/>
          <w:sz w:val="32"/>
          <w:szCs w:val="32"/>
          <w:rtl/>
        </w:rPr>
      </w:pPr>
      <w:r>
        <w:rPr>
          <w:rFonts w:eastAsia="Calibri" w:hint="cs"/>
          <w:color w:val="000000"/>
          <w:sz w:val="32"/>
          <w:szCs w:val="32"/>
          <w:rtl/>
        </w:rPr>
        <w:t xml:space="preserve">- </w:t>
      </w:r>
      <w:r w:rsidR="00642E23" w:rsidRPr="00642E23">
        <w:rPr>
          <w:rFonts w:eastAsia="Calibri" w:hint="cs"/>
          <w:color w:val="000000"/>
          <w:sz w:val="32"/>
          <w:szCs w:val="32"/>
          <w:rtl/>
        </w:rPr>
        <w:t xml:space="preserve">لعلكم تقرؤون اليوم تأويلاً لهاتين الآيتين في رجال غزة وفي نسائها، في شيبها وشبابها، قومٌ باعوا أموالهم وأنفسهم في سبيل الله، يقاتلون في سبيل الله فيَقتُلون ويُقتَلون، يسألون الله الشهادة ويتألمون إن لم ينالوها، يستغفرون الله ويحمدونه على مصابهم، ويطلبون رضاه إذ اصطفى منهم أحبَّ أحبابِهم، يطوون النهار صائمين، والليل بالقرآن قائمين راكعين وساجدين، يأمرون بالمعروف وينهون عن المنكر، ويحفظون حدود الله، فبشراكم يا أهل غزة ببشرى القرآن وبشر المؤمنين </w:t>
      </w:r>
      <w:r w:rsidR="00642E23" w:rsidRPr="00642E23">
        <w:rPr>
          <w:rFonts w:ascii="Times New Roman" w:eastAsia="Calibri" w:hAnsi="Times New Roman" w:cs="Times New Roman"/>
          <w:color w:val="006600"/>
          <w:sz w:val="28"/>
          <w:szCs w:val="28"/>
          <w:rtl/>
        </w:rPr>
        <w:t>﴿‌</w:t>
      </w:r>
      <w:r w:rsidR="00642E23" w:rsidRPr="00642E23">
        <w:rPr>
          <w:rFonts w:eastAsia="Calibri" w:cs="DecoType Naskh"/>
          <w:color w:val="006600"/>
          <w:sz w:val="28"/>
          <w:szCs w:val="28"/>
          <w:rtl/>
        </w:rPr>
        <w:t>فَاسْتَبْشِرُوا ‌بِبَيْعِكُمُ الَّذِي بَايَعْتُمْ بِهِ وَذَلِكَ هُوَ الْفَوْزُ الْعَظِيمُ</w:t>
      </w:r>
      <w:r w:rsidR="00642E23" w:rsidRPr="00642E23">
        <w:rPr>
          <w:rFonts w:ascii="Times New Roman" w:eastAsia="Calibri" w:hAnsi="Times New Roman" w:cs="Times New Roman"/>
          <w:color w:val="006600"/>
          <w:sz w:val="28"/>
          <w:szCs w:val="28"/>
          <w:rtl/>
        </w:rPr>
        <w:t>﴾</w:t>
      </w:r>
      <w:r w:rsidR="00642E23" w:rsidRPr="00642E23">
        <w:rPr>
          <w:rFonts w:eastAsia="Calibri" w:cs="DecoType Naskh"/>
          <w:color w:val="006600"/>
          <w:sz w:val="32"/>
          <w:szCs w:val="32"/>
          <w:rtl/>
        </w:rPr>
        <w:t xml:space="preserve"> </w:t>
      </w:r>
      <w:r w:rsidR="00642E23" w:rsidRPr="00642E23">
        <w:rPr>
          <w:rFonts w:eastAsia="Calibri" w:hint="cs"/>
          <w:color w:val="000000"/>
          <w:sz w:val="32"/>
          <w:szCs w:val="32"/>
          <w:rtl/>
        </w:rPr>
        <w:t xml:space="preserve">[التوبة: 111]. </w:t>
      </w:r>
    </w:p>
    <w:p w:rsidR="00F922A8" w:rsidRPr="00642E23" w:rsidRDefault="00642E23" w:rsidP="00386F08">
      <w:pPr>
        <w:tabs>
          <w:tab w:val="left" w:pos="565"/>
        </w:tabs>
        <w:spacing w:beforeLines="20" w:before="48" w:afterLines="20" w:after="48" w:line="244" w:lineRule="auto"/>
        <w:ind w:firstLine="282"/>
        <w:jc w:val="center"/>
        <w:rPr>
          <w:color w:val="FF0000"/>
          <w:sz w:val="32"/>
          <w:szCs w:val="32"/>
          <w:rtl/>
        </w:rPr>
      </w:pPr>
      <w:r w:rsidRPr="00642E23">
        <w:rPr>
          <w:rFonts w:eastAsia="Calibri" w:hint="cs"/>
          <w:color w:val="FF0000"/>
          <w:sz w:val="32"/>
          <w:szCs w:val="32"/>
          <w:rtl/>
        </w:rPr>
        <w:t>والحمد لله رب العالمين</w:t>
      </w:r>
      <w:bookmarkStart w:id="0" w:name="_GoBack"/>
      <w:bookmarkEnd w:id="0"/>
      <w:r w:rsidR="006E1A5B" w:rsidRPr="00642E23">
        <w:rPr>
          <w:rFonts w:hint="cs"/>
          <w:color w:val="000000"/>
          <w:sz w:val="32"/>
          <w:szCs w:val="32"/>
          <w:rtl/>
        </w:rPr>
        <w:t xml:space="preserve"> </w:t>
      </w:r>
    </w:p>
    <w:sectPr w:rsidR="00F922A8" w:rsidRPr="00642E23" w:rsidSect="00642E2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2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86F08"/>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42E23"/>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73E36"/>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97AC"/>
  <w15:docId w15:val="{C499CF61-F7C2-4359-AF99-DD8A9A6A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42E2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162940">
      <w:bodyDiv w:val="1"/>
      <w:marLeft w:val="0"/>
      <w:marRight w:val="0"/>
      <w:marTop w:val="0"/>
      <w:marBottom w:val="0"/>
      <w:divBdr>
        <w:top w:val="none" w:sz="0" w:space="0" w:color="auto"/>
        <w:left w:val="none" w:sz="0" w:space="0" w:color="auto"/>
        <w:bottom w:val="none" w:sz="0" w:space="0" w:color="auto"/>
        <w:right w:val="none" w:sz="0" w:space="0" w:color="auto"/>
      </w:divBdr>
    </w:div>
    <w:div w:id="18135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B299-CCEE-4604-8315-5D670D13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22</TotalTime>
  <Pages>1</Pages>
  <Words>493</Words>
  <Characters>2815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2024-01-20T07:44:00Z</dcterms:created>
  <dcterms:modified xsi:type="dcterms:W3CDTF">2024-01-20T08:06:00Z</dcterms:modified>
</cp:coreProperties>
</file>