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2858135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9D5A4D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9D5A4D" w:rsidRPr="009D5A4D">
        <w:rPr>
          <w:color w:val="000000"/>
          <w:sz w:val="24"/>
          <w:szCs w:val="24"/>
          <w:rtl/>
        </w:rPr>
        <w:t xml:space="preserve">28/ 6/ 2019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proofErr w:type="spellEnd"/>
      <w:r w:rsidRPr="004A51B3">
        <w:rPr>
          <w:color w:val="000000"/>
          <w:sz w:val="24"/>
          <w:szCs w:val="24"/>
          <w:rtl/>
        </w:rPr>
        <w:t>,</w:t>
      </w:r>
      <w:proofErr w:type="gramEnd"/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9D5A4D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9D5A4D" w:rsidRPr="009D5A4D">
        <w:rPr>
          <w:b/>
          <w:bCs/>
          <w:color w:val="006600"/>
          <w:sz w:val="32"/>
          <w:szCs w:val="32"/>
          <w:rtl/>
        </w:rPr>
        <w:t>الأدب مع رسول الله صلى الله عليه وسلم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9D5A4D" w:rsidRPr="009D5A4D" w:rsidRDefault="009D5A4D" w:rsidP="009D5A4D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9D5A4D">
        <w:rPr>
          <w:rFonts w:hint="cs"/>
          <w:color w:val="000000"/>
          <w:sz w:val="32"/>
          <w:szCs w:val="32"/>
          <w:rtl/>
        </w:rPr>
        <w:t xml:space="preserve">إليكم مجموعةً من آداب المسلم مع رسول </w:t>
      </w:r>
      <w:proofErr w:type="gramStart"/>
      <w:r w:rsidRPr="009D5A4D">
        <w:rPr>
          <w:rFonts w:hint="cs"/>
          <w:color w:val="000000"/>
          <w:sz w:val="32"/>
          <w:szCs w:val="32"/>
          <w:rtl/>
        </w:rPr>
        <w:t xml:space="preserve">الله </w:t>
      </w:r>
      <w:r>
        <w:rPr>
          <w:rFonts w:hint="cs"/>
          <w:color w:val="000000"/>
          <w:sz w:val="32"/>
          <w:szCs w:val="32"/>
        </w:rPr>
        <w:sym w:font="AGA Arabesque" w:char="F072"/>
      </w:r>
      <w:r w:rsidRPr="009D5A4D">
        <w:rPr>
          <w:rFonts w:hint="cs"/>
          <w:color w:val="000000"/>
          <w:sz w:val="32"/>
          <w:szCs w:val="32"/>
          <w:rtl/>
        </w:rPr>
        <w:t>،</w:t>
      </w:r>
      <w:proofErr w:type="gramEnd"/>
      <w:r w:rsidRPr="009D5A4D">
        <w:rPr>
          <w:rFonts w:hint="cs"/>
          <w:color w:val="000000"/>
          <w:sz w:val="32"/>
          <w:szCs w:val="32"/>
          <w:rtl/>
        </w:rPr>
        <w:t xml:space="preserve"> حري بمن أراد رفعة الدارين والقربَ من رسول الله </w:t>
      </w:r>
      <w:r>
        <w:rPr>
          <w:rFonts w:hint="cs"/>
          <w:color w:val="000000"/>
          <w:sz w:val="32"/>
          <w:szCs w:val="32"/>
        </w:rPr>
        <w:sym w:font="AGA Arabesque" w:char="F072"/>
      </w:r>
      <w:r w:rsidRPr="009D5A4D">
        <w:rPr>
          <w:rFonts w:hint="cs"/>
          <w:color w:val="000000"/>
          <w:sz w:val="32"/>
          <w:szCs w:val="32"/>
          <w:rtl/>
        </w:rPr>
        <w:t xml:space="preserve"> التمسكُ بها، واذكر</w:t>
      </w:r>
      <w:r>
        <w:rPr>
          <w:rFonts w:hint="cs"/>
          <w:color w:val="000000"/>
          <w:sz w:val="32"/>
          <w:szCs w:val="32"/>
          <w:rtl/>
        </w:rPr>
        <w:t>وا</w:t>
      </w:r>
      <w:r w:rsidRPr="009D5A4D">
        <w:rPr>
          <w:rFonts w:hint="cs"/>
          <w:color w:val="000000"/>
          <w:sz w:val="32"/>
          <w:szCs w:val="32"/>
          <w:rtl/>
        </w:rPr>
        <w:t xml:space="preserve"> أن من زاد عليك في الأدب زاد عليك في الدين، وأن الأدب يرفع المملوك حتى يجلسه في مجالس الملوك.</w:t>
      </w:r>
    </w:p>
    <w:p w:rsidR="009D5A4D" w:rsidRPr="009D5A4D" w:rsidRDefault="009D5A4D" w:rsidP="009D5A4D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b/>
          <w:bCs/>
          <w:color w:val="000000"/>
          <w:sz w:val="32"/>
          <w:szCs w:val="32"/>
          <w:rtl/>
        </w:rPr>
      </w:pPr>
      <w:proofErr w:type="gramStart"/>
      <w:r w:rsidRPr="009D5A4D">
        <w:rPr>
          <w:rFonts w:hint="cs"/>
          <w:b/>
          <w:bCs/>
          <w:color w:val="000000"/>
          <w:sz w:val="32"/>
          <w:szCs w:val="32"/>
          <w:rtl/>
        </w:rPr>
        <w:t>1- رأس</w:t>
      </w:r>
      <w:proofErr w:type="gramEnd"/>
      <w:r w:rsidRPr="009D5A4D">
        <w:rPr>
          <w:rFonts w:hint="cs"/>
          <w:b/>
          <w:bCs/>
          <w:color w:val="000000"/>
          <w:sz w:val="32"/>
          <w:szCs w:val="32"/>
          <w:rtl/>
        </w:rPr>
        <w:t xml:space="preserve"> الأدب مع النبي </w:t>
      </w:r>
      <w:r>
        <w:rPr>
          <w:rFonts w:hint="cs"/>
          <w:color w:val="000000"/>
          <w:sz w:val="32"/>
          <w:szCs w:val="32"/>
        </w:rPr>
        <w:sym w:font="AGA Arabesque" w:char="F072"/>
      </w:r>
      <w:r w:rsidRPr="009D5A4D">
        <w:rPr>
          <w:rFonts w:hint="cs"/>
          <w:b/>
          <w:bCs/>
          <w:color w:val="000000"/>
          <w:sz w:val="32"/>
          <w:szCs w:val="32"/>
          <w:rtl/>
        </w:rPr>
        <w:t xml:space="preserve">: كمال التسليم له والانقياد لأمره وتلقي خبرَه بالقبول والتصديق. </w:t>
      </w:r>
    </w:p>
    <w:p w:rsidR="009D5A4D" w:rsidRPr="009D5A4D" w:rsidRDefault="009D5A4D" w:rsidP="009D5A4D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9D5A4D">
        <w:rPr>
          <w:rFonts w:hint="cs"/>
          <w:color w:val="000000"/>
          <w:sz w:val="32"/>
          <w:szCs w:val="32"/>
          <w:rtl/>
        </w:rPr>
        <w:t xml:space="preserve">  روى البخاري ومسلم عَنْ جَرِيرِ بْنِ عَبْدِ اللَّهِ رضي الله عنه قال: "بَايَعْتُ رَسُولَ اللَّهِ صلّى الله عليه وسلّم عَلَى إِقَامِ الصَّلَاةِ وَإِيتَاءِ الزَّكَاةِ وَالنُّصْحِ لِكُلِّ مُسْلِمٍ"، زاد ابن حبان:" فكان جرير إذا اشترى شيئا أو باع يقول لصاحبه: اعلم أنّ ما أخذنا منك أحبُّ إلينا ممّا </w:t>
      </w:r>
      <w:proofErr w:type="spellStart"/>
      <w:r w:rsidRPr="009D5A4D">
        <w:rPr>
          <w:rFonts w:hint="cs"/>
          <w:color w:val="000000"/>
          <w:sz w:val="32"/>
          <w:szCs w:val="32"/>
          <w:rtl/>
        </w:rPr>
        <w:t>أعطيناكه</w:t>
      </w:r>
      <w:proofErr w:type="spellEnd"/>
      <w:r w:rsidRPr="009D5A4D">
        <w:rPr>
          <w:rFonts w:hint="cs"/>
          <w:color w:val="000000"/>
          <w:sz w:val="32"/>
          <w:szCs w:val="32"/>
          <w:rtl/>
        </w:rPr>
        <w:t xml:space="preserve"> فاختر!" وروى الطبراني في ترجمة جرير:" أنّ غلامه اشترى له فرسا </w:t>
      </w:r>
      <w:proofErr w:type="spellStart"/>
      <w:r w:rsidRPr="009D5A4D">
        <w:rPr>
          <w:rFonts w:hint="cs"/>
          <w:color w:val="000000"/>
          <w:sz w:val="32"/>
          <w:szCs w:val="32"/>
          <w:rtl/>
        </w:rPr>
        <w:t>بثلثمائة</w:t>
      </w:r>
      <w:proofErr w:type="spellEnd"/>
      <w:r w:rsidRPr="009D5A4D">
        <w:rPr>
          <w:rFonts w:hint="cs"/>
          <w:color w:val="000000"/>
          <w:sz w:val="32"/>
          <w:szCs w:val="32"/>
          <w:rtl/>
        </w:rPr>
        <w:t xml:space="preserve">، فلمّا رآه جاء إلى صاحبه فقال: إنّ فرسك خير من </w:t>
      </w:r>
      <w:proofErr w:type="spellStart"/>
      <w:r w:rsidRPr="009D5A4D">
        <w:rPr>
          <w:rFonts w:hint="cs"/>
          <w:color w:val="000000"/>
          <w:sz w:val="32"/>
          <w:szCs w:val="32"/>
          <w:rtl/>
        </w:rPr>
        <w:t>ثلثمائة</w:t>
      </w:r>
      <w:proofErr w:type="spellEnd"/>
      <w:r w:rsidRPr="009D5A4D">
        <w:rPr>
          <w:rFonts w:hint="cs"/>
          <w:color w:val="000000"/>
          <w:sz w:val="32"/>
          <w:szCs w:val="32"/>
          <w:rtl/>
        </w:rPr>
        <w:t>، فلم يزل يزيده حتى أعطاه ثمانمائة ".</w:t>
      </w:r>
    </w:p>
    <w:p w:rsidR="009D5A4D" w:rsidRPr="009D5A4D" w:rsidRDefault="009D5A4D" w:rsidP="009D5A4D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r w:rsidRPr="009D5A4D">
        <w:rPr>
          <w:rFonts w:hint="cs"/>
          <w:color w:val="000000"/>
          <w:sz w:val="32"/>
          <w:szCs w:val="32"/>
          <w:rtl/>
        </w:rPr>
        <w:t xml:space="preserve"> فكمال الأدب مع رسول </w:t>
      </w:r>
      <w:proofErr w:type="gramStart"/>
      <w:r w:rsidRPr="009D5A4D">
        <w:rPr>
          <w:rFonts w:hint="cs"/>
          <w:color w:val="000000"/>
          <w:sz w:val="32"/>
          <w:szCs w:val="32"/>
          <w:rtl/>
        </w:rPr>
        <w:t xml:space="preserve">الله </w:t>
      </w:r>
      <w:r>
        <w:rPr>
          <w:rFonts w:hint="cs"/>
          <w:color w:val="000000"/>
          <w:sz w:val="32"/>
          <w:szCs w:val="32"/>
        </w:rPr>
        <w:sym w:font="AGA Arabesque" w:char="F072"/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9D5A4D">
        <w:rPr>
          <w:rFonts w:hint="cs"/>
          <w:color w:val="000000"/>
          <w:sz w:val="32"/>
          <w:szCs w:val="32"/>
          <w:rtl/>
        </w:rPr>
        <w:t>الانقياد</w:t>
      </w:r>
      <w:proofErr w:type="gramEnd"/>
      <w:r w:rsidRPr="009D5A4D">
        <w:rPr>
          <w:rFonts w:hint="cs"/>
          <w:color w:val="000000"/>
          <w:sz w:val="32"/>
          <w:szCs w:val="32"/>
          <w:rtl/>
        </w:rPr>
        <w:t xml:space="preserve"> لأمره والتسليم لسنته وحُكْمِه.</w:t>
      </w:r>
    </w:p>
    <w:p w:rsidR="009D5A4D" w:rsidRPr="009D5A4D" w:rsidRDefault="009D5A4D" w:rsidP="009D5A4D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proofErr w:type="gramStart"/>
      <w:r w:rsidRPr="009D5A4D">
        <w:rPr>
          <w:rFonts w:hint="cs"/>
          <w:b/>
          <w:bCs/>
          <w:color w:val="000000"/>
          <w:sz w:val="32"/>
          <w:szCs w:val="32"/>
          <w:rtl/>
        </w:rPr>
        <w:t>2- ومن</w:t>
      </w:r>
      <w:proofErr w:type="gramEnd"/>
      <w:r w:rsidRPr="009D5A4D">
        <w:rPr>
          <w:rFonts w:hint="cs"/>
          <w:b/>
          <w:bCs/>
          <w:color w:val="000000"/>
          <w:sz w:val="32"/>
          <w:szCs w:val="32"/>
          <w:rtl/>
        </w:rPr>
        <w:t xml:space="preserve"> الأدب مع الرسول </w:t>
      </w:r>
      <w:r>
        <w:rPr>
          <w:rFonts w:hint="cs"/>
          <w:color w:val="000000"/>
          <w:sz w:val="32"/>
          <w:szCs w:val="32"/>
        </w:rPr>
        <w:sym w:font="AGA Arabesque" w:char="F072"/>
      </w:r>
      <w:r w:rsidRPr="009D5A4D">
        <w:rPr>
          <w:rFonts w:hint="cs"/>
          <w:b/>
          <w:bCs/>
          <w:color w:val="000000"/>
          <w:sz w:val="32"/>
          <w:szCs w:val="32"/>
          <w:rtl/>
        </w:rPr>
        <w:t>: أن لا يتقدم بين يديه بأمر ولا نهي، ولا إذن ولا تصرف. حتى يأمر هو، وينهى ويأذن،</w:t>
      </w:r>
      <w:r w:rsidRPr="009D5A4D">
        <w:rPr>
          <w:rFonts w:hint="cs"/>
          <w:color w:val="000000"/>
          <w:sz w:val="32"/>
          <w:szCs w:val="32"/>
          <w:rtl/>
        </w:rPr>
        <w:t xml:space="preserve"> كما قال تعالى: </w:t>
      </w:r>
      <w:r w:rsidRPr="009D5A4D">
        <w:rPr>
          <w:rStyle w:val="Char0"/>
          <w:sz w:val="28"/>
          <w:rtl/>
        </w:rPr>
        <w:t>{يَا أَيُّهَا الَّذِينَ آمَنُوا لَا تُقَدِّمُوا بَيْنَ يَدَيِ اللَّهِ وَرَسُولِهِ}</w:t>
      </w:r>
      <w:r w:rsidRPr="009D5A4D">
        <w:rPr>
          <w:rFonts w:hint="cs"/>
          <w:color w:val="000000"/>
          <w:sz w:val="28"/>
          <w:szCs w:val="28"/>
          <w:rtl/>
        </w:rPr>
        <w:t xml:space="preserve"> </w:t>
      </w:r>
      <w:r w:rsidRPr="009D5A4D">
        <w:rPr>
          <w:rFonts w:hint="cs"/>
          <w:color w:val="000000"/>
          <w:sz w:val="32"/>
          <w:szCs w:val="32"/>
          <w:rtl/>
        </w:rPr>
        <w:t>[الحجرات: 1]، وهذا باق إلى يوم القيامة. فالتقدم بين يدي سنته بعد وفاته، كالتقدم بين يديه في حياته، ولا فرق بينهما عند ذي عقل سليم.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9D5A4D">
        <w:rPr>
          <w:rFonts w:hint="cs"/>
          <w:color w:val="000000"/>
          <w:sz w:val="32"/>
          <w:szCs w:val="32"/>
          <w:rtl/>
        </w:rPr>
        <w:t>قال أبو عبيدة: تقول العرب: لا تقدم بين يدي الإمام وبين يدي الأب؛ أي لا تعجلوا بالأمر والنهي دونه. وقال غيره: لا تأمروا حتى يأمر، ولا تنهوا حتى ينهى.</w:t>
      </w:r>
    </w:p>
    <w:p w:rsidR="009D5A4D" w:rsidRPr="009D5A4D" w:rsidRDefault="009D5A4D" w:rsidP="009D5A4D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proofErr w:type="gramStart"/>
      <w:r w:rsidRPr="009D5A4D">
        <w:rPr>
          <w:rFonts w:hint="cs"/>
          <w:b/>
          <w:bCs/>
          <w:color w:val="000000"/>
          <w:sz w:val="32"/>
          <w:szCs w:val="32"/>
          <w:rtl/>
        </w:rPr>
        <w:t>3- ومن</w:t>
      </w:r>
      <w:proofErr w:type="gramEnd"/>
      <w:r w:rsidRPr="009D5A4D">
        <w:rPr>
          <w:rFonts w:hint="cs"/>
          <w:b/>
          <w:bCs/>
          <w:color w:val="000000"/>
          <w:sz w:val="32"/>
          <w:szCs w:val="32"/>
          <w:rtl/>
        </w:rPr>
        <w:t xml:space="preserve"> الأدب معه </w:t>
      </w:r>
      <w:r>
        <w:rPr>
          <w:rFonts w:hint="cs"/>
          <w:color w:val="000000"/>
          <w:sz w:val="32"/>
          <w:szCs w:val="32"/>
        </w:rPr>
        <w:sym w:font="AGA Arabesque" w:char="F072"/>
      </w:r>
      <w:r w:rsidRPr="009D5A4D">
        <w:rPr>
          <w:rFonts w:hint="cs"/>
          <w:b/>
          <w:bCs/>
          <w:color w:val="000000"/>
          <w:sz w:val="32"/>
          <w:szCs w:val="32"/>
          <w:rtl/>
        </w:rPr>
        <w:t>: أن لا تُرفَع الأصوات فوق صوته.</w:t>
      </w:r>
      <w:r w:rsidRPr="009D5A4D">
        <w:rPr>
          <w:rFonts w:hint="cs"/>
          <w:color w:val="000000"/>
          <w:sz w:val="32"/>
          <w:szCs w:val="32"/>
          <w:rtl/>
        </w:rPr>
        <w:t xml:space="preserve"> فإنه سبب لحبوط الأعمال، فما الظن برفع الآراء، ونتائ</w:t>
      </w:r>
      <w:r>
        <w:rPr>
          <w:rFonts w:hint="cs"/>
          <w:color w:val="000000"/>
          <w:sz w:val="32"/>
          <w:szCs w:val="32"/>
          <w:rtl/>
        </w:rPr>
        <w:t>ج الأفكار على سنته وما جاء به؟!</w:t>
      </w:r>
      <w:r w:rsidRPr="009D5A4D">
        <w:rPr>
          <w:rFonts w:hint="cs"/>
          <w:color w:val="000000"/>
          <w:sz w:val="32"/>
          <w:szCs w:val="32"/>
          <w:rtl/>
        </w:rPr>
        <w:t xml:space="preserve"> </w:t>
      </w:r>
      <w:r w:rsidRPr="009D5A4D">
        <w:rPr>
          <w:rStyle w:val="Char0"/>
          <w:sz w:val="28"/>
          <w:rtl/>
        </w:rPr>
        <w:t>{يَا أَيُّهَا الَّذِينَ آمَنُوا لَا تَرْفَعُوا أَصْوَاتَكُمْ فَوْقَ صَوْتِ النَّبِيِّ}</w:t>
      </w:r>
      <w:r w:rsidRPr="009D5A4D">
        <w:rPr>
          <w:rFonts w:hint="cs"/>
          <w:color w:val="000000"/>
          <w:sz w:val="32"/>
          <w:szCs w:val="32"/>
          <w:rtl/>
        </w:rPr>
        <w:t xml:space="preserve"> [الحجرات: 2]، روى البخاري والترمذي: كان عمر إذا تكلم عند النبي </w:t>
      </w:r>
      <w:r>
        <w:rPr>
          <w:rFonts w:hint="cs"/>
          <w:color w:val="000000"/>
          <w:sz w:val="32"/>
          <w:szCs w:val="32"/>
        </w:rPr>
        <w:sym w:font="AGA Arabesque" w:char="F072"/>
      </w:r>
      <w:r>
        <w:rPr>
          <w:rFonts w:hint="cs"/>
          <w:color w:val="000000"/>
          <w:sz w:val="32"/>
          <w:szCs w:val="32"/>
          <w:rtl/>
        </w:rPr>
        <w:t xml:space="preserve">لم يَسمع كلامَه حتى </w:t>
      </w:r>
      <w:proofErr w:type="spellStart"/>
      <w:r>
        <w:rPr>
          <w:rFonts w:hint="cs"/>
          <w:color w:val="000000"/>
          <w:sz w:val="32"/>
          <w:szCs w:val="32"/>
          <w:rtl/>
        </w:rPr>
        <w:t>يستفهمه</w:t>
      </w:r>
      <w:proofErr w:type="spellEnd"/>
      <w:r>
        <w:rPr>
          <w:rFonts w:hint="cs"/>
          <w:color w:val="000000"/>
          <w:sz w:val="32"/>
          <w:szCs w:val="32"/>
          <w:rtl/>
        </w:rPr>
        <w:t xml:space="preserve">. </w:t>
      </w:r>
      <w:r w:rsidRPr="009D5A4D">
        <w:rPr>
          <w:rFonts w:hint="cs"/>
          <w:color w:val="000000"/>
          <w:sz w:val="32"/>
          <w:szCs w:val="32"/>
          <w:rtl/>
        </w:rPr>
        <w:t xml:space="preserve">وقد كره بعض العلماء رفع الصوت عند </w:t>
      </w:r>
      <w:proofErr w:type="gramStart"/>
      <w:r w:rsidRPr="009D5A4D">
        <w:rPr>
          <w:rFonts w:hint="cs"/>
          <w:color w:val="000000"/>
          <w:sz w:val="32"/>
          <w:szCs w:val="32"/>
          <w:rtl/>
        </w:rPr>
        <w:t xml:space="preserve">قبره </w:t>
      </w:r>
      <w:r>
        <w:rPr>
          <w:rFonts w:hint="cs"/>
          <w:color w:val="000000"/>
          <w:sz w:val="32"/>
          <w:szCs w:val="32"/>
        </w:rPr>
        <w:sym w:font="AGA Arabesque" w:char="F072"/>
      </w:r>
      <w:r w:rsidRPr="009D5A4D">
        <w:rPr>
          <w:rFonts w:hint="cs"/>
          <w:color w:val="000000"/>
          <w:sz w:val="32"/>
          <w:szCs w:val="32"/>
          <w:rtl/>
        </w:rPr>
        <w:t>.</w:t>
      </w:r>
      <w:proofErr w:type="gramEnd"/>
      <w:r w:rsidRPr="009D5A4D">
        <w:rPr>
          <w:rFonts w:hint="cs"/>
          <w:color w:val="000000"/>
          <w:sz w:val="32"/>
          <w:szCs w:val="32"/>
          <w:rtl/>
        </w:rPr>
        <w:t xml:space="preserve"> </w:t>
      </w:r>
    </w:p>
    <w:p w:rsidR="009D5A4D" w:rsidRPr="009D5A4D" w:rsidRDefault="009D5A4D" w:rsidP="009D5A4D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proofErr w:type="gramStart"/>
      <w:r w:rsidRPr="009D5A4D">
        <w:rPr>
          <w:rFonts w:hint="cs"/>
          <w:b/>
          <w:bCs/>
          <w:color w:val="000000"/>
          <w:sz w:val="32"/>
          <w:szCs w:val="32"/>
          <w:rtl/>
        </w:rPr>
        <w:t>4- ومن</w:t>
      </w:r>
      <w:proofErr w:type="gramEnd"/>
      <w:r w:rsidRPr="009D5A4D">
        <w:rPr>
          <w:rFonts w:hint="cs"/>
          <w:b/>
          <w:bCs/>
          <w:color w:val="000000"/>
          <w:sz w:val="32"/>
          <w:szCs w:val="32"/>
          <w:rtl/>
        </w:rPr>
        <w:t xml:space="preserve"> الأدب معه </w:t>
      </w:r>
      <w:r w:rsidRPr="009D5A4D">
        <w:rPr>
          <w:rFonts w:hint="cs"/>
          <w:b/>
          <w:bCs/>
          <w:color w:val="000000"/>
          <w:sz w:val="32"/>
          <w:szCs w:val="32"/>
        </w:rPr>
        <w:sym w:font="AGA Arabesque" w:char="F072"/>
      </w:r>
      <w:r w:rsidRPr="009D5A4D">
        <w:rPr>
          <w:rFonts w:hint="cs"/>
          <w:b/>
          <w:bCs/>
          <w:color w:val="000000"/>
          <w:sz w:val="32"/>
          <w:szCs w:val="32"/>
          <w:rtl/>
        </w:rPr>
        <w:t xml:space="preserve">: أن لا يجعل دعاءه كدعاء غيره. </w:t>
      </w:r>
      <w:r w:rsidRPr="009D5A4D">
        <w:rPr>
          <w:rFonts w:hint="cs"/>
          <w:color w:val="000000"/>
          <w:sz w:val="32"/>
          <w:szCs w:val="32"/>
          <w:rtl/>
        </w:rPr>
        <w:t xml:space="preserve">قال تعالى: </w:t>
      </w:r>
      <w:r w:rsidRPr="009D5A4D">
        <w:rPr>
          <w:rStyle w:val="Char0"/>
          <w:sz w:val="28"/>
          <w:rtl/>
        </w:rPr>
        <w:t>{لَا تَجْعَلُوا دُعَاءَ الرَّسُولِ بَيْنَكُمْ كَدُعَاءِ بَعْضِكُمْ بَعْضًا}</w:t>
      </w:r>
      <w:r w:rsidRPr="009D5A4D">
        <w:rPr>
          <w:rFonts w:hint="cs"/>
          <w:color w:val="000000"/>
          <w:sz w:val="32"/>
          <w:szCs w:val="32"/>
          <w:rtl/>
        </w:rPr>
        <w:t xml:space="preserve"> [</w:t>
      </w:r>
      <w:r>
        <w:rPr>
          <w:rFonts w:hint="cs"/>
          <w:color w:val="000000"/>
          <w:sz w:val="32"/>
          <w:szCs w:val="32"/>
          <w:rtl/>
        </w:rPr>
        <w:t xml:space="preserve">النور: 63]. وفيه قولان للمفسرين: </w:t>
      </w:r>
      <w:r w:rsidRPr="009D5A4D">
        <w:rPr>
          <w:rFonts w:hint="cs"/>
          <w:color w:val="000000"/>
          <w:sz w:val="32"/>
          <w:szCs w:val="32"/>
          <w:rtl/>
        </w:rPr>
        <w:t xml:space="preserve">أحدهما: لا تجعلوا دعاءه لكم بمنزلة دعاء بعضكم بعضا. إن شاء أجاب، وإن شاء ترك، بل إذا دعاكم لم يكن لكم بد من إجابته، ولم يسعكم التخلف عنها </w:t>
      </w:r>
      <w:proofErr w:type="spellStart"/>
      <w:r w:rsidRPr="009D5A4D">
        <w:rPr>
          <w:rFonts w:hint="cs"/>
          <w:color w:val="000000"/>
          <w:sz w:val="32"/>
          <w:szCs w:val="32"/>
          <w:rtl/>
        </w:rPr>
        <w:t>ألبتة</w:t>
      </w:r>
      <w:proofErr w:type="spellEnd"/>
      <w:r w:rsidRPr="009D5A4D">
        <w:rPr>
          <w:rFonts w:hint="cs"/>
          <w:color w:val="000000"/>
          <w:sz w:val="32"/>
          <w:szCs w:val="32"/>
          <w:rtl/>
        </w:rPr>
        <w:t>.</w:t>
      </w:r>
      <w:r>
        <w:rPr>
          <w:rFonts w:hint="cs"/>
          <w:color w:val="000000"/>
          <w:sz w:val="32"/>
          <w:szCs w:val="32"/>
          <w:rtl/>
        </w:rPr>
        <w:t xml:space="preserve"> </w:t>
      </w:r>
      <w:r w:rsidRPr="009D5A4D">
        <w:rPr>
          <w:rFonts w:hint="cs"/>
          <w:color w:val="000000"/>
          <w:sz w:val="32"/>
          <w:szCs w:val="32"/>
          <w:rtl/>
        </w:rPr>
        <w:t xml:space="preserve">الثاني: أنكم لا تدعونه باسمه، كما يدعو بعضكم بعضا، بل قولوا: يا رسول الله، يا نبي الله. </w:t>
      </w:r>
    </w:p>
    <w:p w:rsidR="009D5A4D" w:rsidRPr="009D5A4D" w:rsidRDefault="009D5A4D" w:rsidP="009D5A4D">
      <w:pPr>
        <w:tabs>
          <w:tab w:val="left" w:pos="565"/>
        </w:tabs>
        <w:spacing w:beforeLines="20" w:before="48" w:afterLines="20" w:after="48" w:line="244" w:lineRule="auto"/>
        <w:ind w:firstLine="282"/>
        <w:rPr>
          <w:rFonts w:hint="cs"/>
          <w:color w:val="000000"/>
          <w:sz w:val="32"/>
          <w:szCs w:val="32"/>
          <w:rtl/>
        </w:rPr>
      </w:pPr>
      <w:proofErr w:type="gramStart"/>
      <w:r w:rsidRPr="009D5A4D">
        <w:rPr>
          <w:rFonts w:hint="cs"/>
          <w:b/>
          <w:bCs/>
          <w:color w:val="000000"/>
          <w:sz w:val="32"/>
          <w:szCs w:val="32"/>
          <w:rtl/>
        </w:rPr>
        <w:t>5- ومن</w:t>
      </w:r>
      <w:proofErr w:type="gramEnd"/>
      <w:r w:rsidRPr="009D5A4D">
        <w:rPr>
          <w:rFonts w:hint="cs"/>
          <w:b/>
          <w:bCs/>
          <w:color w:val="000000"/>
          <w:sz w:val="32"/>
          <w:szCs w:val="32"/>
          <w:rtl/>
        </w:rPr>
        <w:t xml:space="preserve"> الأدب معه </w:t>
      </w:r>
      <w:r>
        <w:rPr>
          <w:rFonts w:hint="cs"/>
          <w:color w:val="000000"/>
          <w:sz w:val="32"/>
          <w:szCs w:val="32"/>
        </w:rPr>
        <w:sym w:font="AGA Arabesque" w:char="F072"/>
      </w:r>
      <w:r w:rsidRPr="009D5A4D">
        <w:rPr>
          <w:rFonts w:hint="cs"/>
          <w:b/>
          <w:bCs/>
          <w:color w:val="000000"/>
          <w:sz w:val="32"/>
          <w:szCs w:val="32"/>
          <w:rtl/>
        </w:rPr>
        <w:t>: أنهم إذا كانوا معه على أمر جامع - من خطبة، أو جهاد، أو رباط - لم يذهب أحد منهم مذهبا في حاجته حتى يستأذنه.</w:t>
      </w:r>
      <w:r w:rsidRPr="009D5A4D">
        <w:rPr>
          <w:rFonts w:hint="cs"/>
          <w:color w:val="000000"/>
          <w:sz w:val="32"/>
          <w:szCs w:val="32"/>
          <w:rtl/>
        </w:rPr>
        <w:t xml:space="preserve"> كما قال تعالى: </w:t>
      </w:r>
      <w:r w:rsidRPr="009D5A4D">
        <w:rPr>
          <w:rStyle w:val="Char0"/>
          <w:sz w:val="28"/>
          <w:rtl/>
        </w:rPr>
        <w:t>{إِنَّمَا الْمُؤْمِنُونَ الَّذِينَ آمَنُوا بِاللَّهِ وَرَسُولِهِ وَإِذَا كَانُوا مَعَهُ عَلَى أَمْرٍ جَامِعٍ لَمْ يَذْهَبُوا حَتَّى يَسْتَأْذِنُوهُ}</w:t>
      </w:r>
      <w:r w:rsidRPr="009D5A4D">
        <w:rPr>
          <w:rFonts w:hint="cs"/>
          <w:color w:val="000000"/>
          <w:sz w:val="32"/>
          <w:szCs w:val="32"/>
          <w:rtl/>
        </w:rPr>
        <w:t xml:space="preserve"> [النور: 62]، فإذا كان هذا مذهبا مقيدا بحاجة عارضة، ولم يوسع لهم فيه إلا بإذنه فكيف بمذهب مطلق في تفاصيل الدين: أصوله، وفروعه، دقيقه، وجليله؟ هل يشرع الذهاب إليه بدون استئذانه؟ </w:t>
      </w:r>
      <w:r w:rsidRPr="009D5A4D">
        <w:rPr>
          <w:rStyle w:val="Char0"/>
          <w:sz w:val="28"/>
          <w:rtl/>
        </w:rPr>
        <w:t>{فَاسْأَلُوا أَهْلَ الذِّكْرِ إِنْ كُنْتُمْ لَا تَعْلَمُونَ}</w:t>
      </w:r>
      <w:r w:rsidRPr="009D5A4D">
        <w:rPr>
          <w:rFonts w:hint="cs"/>
          <w:color w:val="000000"/>
          <w:sz w:val="32"/>
          <w:szCs w:val="32"/>
          <w:rtl/>
        </w:rPr>
        <w:t xml:space="preserve"> [النحل: 43]. </w:t>
      </w:r>
    </w:p>
    <w:p w:rsidR="009D5A4D" w:rsidRPr="009D5A4D" w:rsidRDefault="009D5A4D" w:rsidP="009D5A4D">
      <w:pPr>
        <w:spacing w:line="240" w:lineRule="auto"/>
        <w:ind w:left="-341" w:right="-284"/>
        <w:jc w:val="center"/>
        <w:rPr>
          <w:color w:val="FF0000"/>
          <w:sz w:val="34"/>
          <w:szCs w:val="34"/>
          <w:rtl/>
        </w:rPr>
      </w:pPr>
      <w:r>
        <w:rPr>
          <w:rFonts w:hint="cs"/>
          <w:color w:val="FF0000"/>
          <w:sz w:val="34"/>
          <w:szCs w:val="34"/>
          <w:rtl/>
        </w:rPr>
        <w:t>والحمد لله رب العالمين</w:t>
      </w:r>
      <w:bookmarkStart w:id="0" w:name="_GoBack"/>
      <w:bookmarkEnd w:id="0"/>
    </w:p>
    <w:sectPr w:rsidR="009D5A4D" w:rsidRPr="009D5A4D" w:rsidSect="009D5A4D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4D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9D5A4D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294D4C-4ACB-4595-A3D5-205F9326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 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مخطط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4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adAyham\Desktop\&#1602;&#1608;&#1575;&#1604;&#1576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10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MohamadAyham</dc:creator>
  <cp:lastModifiedBy>MohamadAyham</cp:lastModifiedBy>
  <cp:revision>2</cp:revision>
  <dcterms:created xsi:type="dcterms:W3CDTF">2019-06-29T07:00:00Z</dcterms:created>
  <dcterms:modified xsi:type="dcterms:W3CDTF">2019-06-29T07:10:00Z</dcterms:modified>
</cp:coreProperties>
</file>