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643" w:rsidRPr="00736B6D" w:rsidRDefault="005A0643" w:rsidP="00313F69">
      <w:pPr>
        <w:tabs>
          <w:tab w:val="left" w:pos="565"/>
        </w:tabs>
        <w:spacing w:beforeLines="20" w:before="48" w:afterLines="20" w:after="48" w:line="247" w:lineRule="auto"/>
        <w:ind w:left="-341" w:right="-284"/>
        <w:jc w:val="center"/>
        <w:rPr>
          <w:sz w:val="24"/>
          <w:szCs w:val="24"/>
          <w:rtl/>
        </w:rPr>
      </w:pPr>
      <w:r w:rsidRPr="00736B6D">
        <w:rPr>
          <w:rFonts w:hint="eastAsia"/>
          <w:sz w:val="24"/>
          <w:szCs w:val="24"/>
          <w:rtl/>
        </w:rPr>
        <w:t>خطبة</w:t>
      </w:r>
      <w:r w:rsidRPr="00736B6D">
        <w:rPr>
          <w:sz w:val="24"/>
          <w:szCs w:val="24"/>
          <w:rtl/>
        </w:rPr>
        <w:t xml:space="preserve"> </w:t>
      </w:r>
      <w:r w:rsidRPr="00736B6D">
        <w:rPr>
          <w:rFonts w:hint="eastAsia"/>
          <w:sz w:val="24"/>
          <w:szCs w:val="24"/>
          <w:rtl/>
        </w:rPr>
        <w:t>صلاة</w:t>
      </w:r>
      <w:r w:rsidRPr="00736B6D">
        <w:rPr>
          <w:sz w:val="24"/>
          <w:szCs w:val="24"/>
          <w:rtl/>
        </w:rPr>
        <w:t xml:space="preserve"> </w:t>
      </w:r>
      <w:r w:rsidRPr="00736B6D">
        <w:rPr>
          <w:rFonts w:hint="eastAsia"/>
          <w:sz w:val="24"/>
          <w:szCs w:val="24"/>
          <w:rtl/>
        </w:rPr>
        <w:t>الجمعة</w:t>
      </w:r>
      <w:r w:rsidRPr="00736B6D">
        <w:rPr>
          <w:rFonts w:hint="cs"/>
          <w:sz w:val="24"/>
          <w:szCs w:val="24"/>
          <w:rtl/>
        </w:rPr>
        <w:t xml:space="preserve"> </w:t>
      </w:r>
      <w:r w:rsidR="00313F69" w:rsidRPr="00736B6D">
        <w:rPr>
          <w:rFonts w:hint="cs"/>
          <w:sz w:val="24"/>
          <w:szCs w:val="24"/>
          <w:rtl/>
        </w:rPr>
        <w:t>9</w:t>
      </w:r>
      <w:r w:rsidRPr="00736B6D">
        <w:rPr>
          <w:sz w:val="24"/>
          <w:szCs w:val="24"/>
          <w:rtl/>
        </w:rPr>
        <w:t>/</w:t>
      </w:r>
      <w:r w:rsidR="004C60F9" w:rsidRPr="00736B6D">
        <w:rPr>
          <w:rFonts w:hint="cs"/>
          <w:sz w:val="24"/>
          <w:szCs w:val="24"/>
          <w:rtl/>
        </w:rPr>
        <w:t xml:space="preserve"> </w:t>
      </w:r>
      <w:r w:rsidR="00313F69" w:rsidRPr="00736B6D">
        <w:rPr>
          <w:rFonts w:hint="cs"/>
          <w:sz w:val="24"/>
          <w:szCs w:val="24"/>
          <w:rtl/>
        </w:rPr>
        <w:t>8</w:t>
      </w:r>
      <w:r w:rsidRPr="00736B6D">
        <w:rPr>
          <w:sz w:val="24"/>
          <w:szCs w:val="24"/>
          <w:rtl/>
        </w:rPr>
        <w:t>/</w:t>
      </w:r>
      <w:r w:rsidR="004C60F9" w:rsidRPr="00736B6D">
        <w:rPr>
          <w:rFonts w:hint="cs"/>
          <w:sz w:val="24"/>
          <w:szCs w:val="24"/>
          <w:rtl/>
        </w:rPr>
        <w:t xml:space="preserve"> </w:t>
      </w:r>
      <w:r w:rsidRPr="00736B6D">
        <w:rPr>
          <w:sz w:val="24"/>
          <w:szCs w:val="24"/>
          <w:rtl/>
        </w:rPr>
        <w:t>201</w:t>
      </w:r>
      <w:r w:rsidR="006760B6" w:rsidRPr="00736B6D">
        <w:rPr>
          <w:rFonts w:hint="cs"/>
          <w:sz w:val="24"/>
          <w:szCs w:val="24"/>
          <w:rtl/>
        </w:rPr>
        <w:t>9</w:t>
      </w:r>
      <w:r w:rsidRPr="00736B6D">
        <w:rPr>
          <w:sz w:val="24"/>
          <w:szCs w:val="24"/>
          <w:rtl/>
        </w:rPr>
        <w:t xml:space="preserve"> </w:t>
      </w:r>
      <w:r w:rsidRPr="00736B6D">
        <w:rPr>
          <w:rFonts w:hint="eastAsia"/>
          <w:sz w:val="24"/>
          <w:szCs w:val="24"/>
          <w:rtl/>
        </w:rPr>
        <w:t>للش</w:t>
      </w:r>
      <w:r w:rsidRPr="00736B6D">
        <w:rPr>
          <w:rFonts w:hint="cs"/>
          <w:sz w:val="24"/>
          <w:szCs w:val="24"/>
          <w:rtl/>
        </w:rPr>
        <w:t>َّ</w:t>
      </w:r>
      <w:r w:rsidRPr="00736B6D">
        <w:rPr>
          <w:rFonts w:hint="eastAsia"/>
          <w:sz w:val="24"/>
          <w:szCs w:val="24"/>
          <w:rtl/>
        </w:rPr>
        <w:t>يخ</w:t>
      </w:r>
      <w:r w:rsidRPr="00736B6D">
        <w:rPr>
          <w:sz w:val="24"/>
          <w:szCs w:val="24"/>
          <w:rtl/>
        </w:rPr>
        <w:t xml:space="preserve"> </w:t>
      </w:r>
      <w:r w:rsidRPr="00736B6D">
        <w:rPr>
          <w:rFonts w:hint="eastAsia"/>
          <w:sz w:val="24"/>
          <w:szCs w:val="24"/>
          <w:rtl/>
        </w:rPr>
        <w:t>الط</w:t>
      </w:r>
      <w:r w:rsidRPr="00736B6D">
        <w:rPr>
          <w:rFonts w:hint="cs"/>
          <w:sz w:val="24"/>
          <w:szCs w:val="24"/>
          <w:rtl/>
        </w:rPr>
        <w:t>َّ</w:t>
      </w:r>
      <w:r w:rsidRPr="00736B6D">
        <w:rPr>
          <w:rFonts w:hint="eastAsia"/>
          <w:sz w:val="24"/>
          <w:szCs w:val="24"/>
          <w:rtl/>
        </w:rPr>
        <w:t>بيب</w:t>
      </w:r>
      <w:r w:rsidRPr="00736B6D">
        <w:rPr>
          <w:sz w:val="24"/>
          <w:szCs w:val="24"/>
          <w:rtl/>
        </w:rPr>
        <w:t xml:space="preserve"> </w:t>
      </w:r>
      <w:r w:rsidRPr="00736B6D">
        <w:rPr>
          <w:rFonts w:hint="eastAsia"/>
          <w:sz w:val="24"/>
          <w:szCs w:val="24"/>
          <w:rtl/>
        </w:rPr>
        <w:t>محمَّد</w:t>
      </w:r>
      <w:r w:rsidRPr="00736B6D">
        <w:rPr>
          <w:sz w:val="24"/>
          <w:szCs w:val="24"/>
          <w:rtl/>
        </w:rPr>
        <w:t xml:space="preserve"> </w:t>
      </w:r>
      <w:r w:rsidRPr="00736B6D">
        <w:rPr>
          <w:rFonts w:hint="eastAsia"/>
          <w:sz w:val="24"/>
          <w:szCs w:val="24"/>
          <w:rtl/>
        </w:rPr>
        <w:t>خير</w:t>
      </w:r>
      <w:r w:rsidRPr="00736B6D">
        <w:rPr>
          <w:sz w:val="24"/>
          <w:szCs w:val="24"/>
          <w:rtl/>
        </w:rPr>
        <w:t xml:space="preserve"> </w:t>
      </w:r>
      <w:r w:rsidRPr="00736B6D">
        <w:rPr>
          <w:rFonts w:hint="eastAsia"/>
          <w:sz w:val="24"/>
          <w:szCs w:val="24"/>
          <w:rtl/>
        </w:rPr>
        <w:t>الشَّعَّال</w:t>
      </w:r>
      <w:r w:rsidRPr="00736B6D">
        <w:rPr>
          <w:sz w:val="24"/>
          <w:szCs w:val="24"/>
          <w:rtl/>
        </w:rPr>
        <w:t xml:space="preserve">, </w:t>
      </w:r>
      <w:r w:rsidRPr="00736B6D">
        <w:rPr>
          <w:rFonts w:hint="eastAsia"/>
          <w:sz w:val="24"/>
          <w:szCs w:val="24"/>
          <w:rtl/>
        </w:rPr>
        <w:t>في</w:t>
      </w:r>
      <w:r w:rsidRPr="00736B6D">
        <w:rPr>
          <w:sz w:val="24"/>
          <w:szCs w:val="24"/>
          <w:rtl/>
        </w:rPr>
        <w:t xml:space="preserve"> </w:t>
      </w:r>
      <w:r w:rsidRPr="00736B6D">
        <w:rPr>
          <w:rFonts w:hint="eastAsia"/>
          <w:sz w:val="24"/>
          <w:szCs w:val="24"/>
          <w:rtl/>
        </w:rPr>
        <w:t>جامع</w:t>
      </w:r>
      <w:r w:rsidRPr="00736B6D">
        <w:rPr>
          <w:sz w:val="24"/>
          <w:szCs w:val="24"/>
          <w:rtl/>
        </w:rPr>
        <w:t xml:space="preserve"> </w:t>
      </w:r>
      <w:r w:rsidRPr="00736B6D">
        <w:rPr>
          <w:rFonts w:hint="cs"/>
          <w:sz w:val="24"/>
          <w:szCs w:val="24"/>
          <w:rtl/>
        </w:rPr>
        <w:t xml:space="preserve">أنس بن مالك، </w:t>
      </w:r>
      <w:r w:rsidRPr="00736B6D">
        <w:rPr>
          <w:rFonts w:hint="eastAsia"/>
          <w:sz w:val="24"/>
          <w:szCs w:val="24"/>
          <w:rtl/>
        </w:rPr>
        <w:t>دمشق</w:t>
      </w:r>
      <w:r w:rsidRPr="00736B6D">
        <w:rPr>
          <w:rFonts w:hint="cs"/>
          <w:sz w:val="24"/>
          <w:szCs w:val="24"/>
          <w:rtl/>
        </w:rPr>
        <w:t xml:space="preserve"> - المالكي</w:t>
      </w:r>
    </w:p>
    <w:p w:rsidR="005A0643" w:rsidRPr="004C60F9" w:rsidRDefault="005A0643" w:rsidP="00313F69">
      <w:pPr>
        <w:pStyle w:val="Heading1"/>
        <w:rPr>
          <w:rtl/>
        </w:rPr>
      </w:pPr>
      <w:r w:rsidRPr="004C60F9">
        <w:rPr>
          <w:rFonts w:hint="cs"/>
          <w:rtl/>
        </w:rPr>
        <w:t>(</w:t>
      </w:r>
      <w:r w:rsidR="001C439D" w:rsidRPr="001C439D">
        <w:rPr>
          <w:rtl/>
        </w:rPr>
        <w:t>يوم عرفة</w:t>
      </w:r>
      <w:r w:rsidRPr="004C60F9">
        <w:rPr>
          <w:rFonts w:hint="cs"/>
          <w:rtl/>
        </w:rPr>
        <w:t>)</w:t>
      </w:r>
    </w:p>
    <w:p w:rsidR="00313F69" w:rsidRPr="00736B6D" w:rsidRDefault="00736B6D" w:rsidP="00313F69">
      <w:pPr>
        <w:spacing w:line="240" w:lineRule="auto"/>
        <w:ind w:left="-341" w:right="-284"/>
        <w:jc w:val="both"/>
        <w:rPr>
          <w:color w:val="000000"/>
          <w:sz w:val="32"/>
          <w:szCs w:val="32"/>
          <w:rtl/>
        </w:rPr>
      </w:pPr>
      <w:r>
        <w:rPr>
          <w:rFonts w:hint="cs"/>
          <w:color w:val="000000"/>
          <w:sz w:val="32"/>
          <w:szCs w:val="32"/>
          <w:rtl/>
        </w:rPr>
        <w:t xml:space="preserve">- </w:t>
      </w:r>
      <w:r w:rsidR="00313F69" w:rsidRPr="00736B6D">
        <w:rPr>
          <w:color w:val="000000"/>
          <w:sz w:val="32"/>
          <w:szCs w:val="32"/>
          <w:rtl/>
        </w:rPr>
        <w:t>نستقبل غداً أفضل أيام الدنيا، يومٌ يجتمع فيه العباد من أصقاع الأرض على صعيد عرفات بلباس واحد وبصوت واحد وبتوجه واحد يعلنون توحيدهم لله وتوبتهم له وإقبالهم عليه وامتثالهم أمره واجتنابهم نهيه، شعثا</w:t>
      </w:r>
      <w:r w:rsidR="00313F69" w:rsidRPr="00736B6D">
        <w:rPr>
          <w:rFonts w:hint="cs"/>
          <w:color w:val="000000"/>
          <w:sz w:val="32"/>
          <w:szCs w:val="32"/>
          <w:rtl/>
        </w:rPr>
        <w:t>ً</w:t>
      </w:r>
      <w:r w:rsidR="00313F69" w:rsidRPr="00736B6D">
        <w:rPr>
          <w:color w:val="000000"/>
          <w:sz w:val="32"/>
          <w:szCs w:val="32"/>
          <w:rtl/>
        </w:rPr>
        <w:t xml:space="preserve"> غبرا</w:t>
      </w:r>
      <w:r w:rsidR="00313F69" w:rsidRPr="00736B6D">
        <w:rPr>
          <w:rFonts w:hint="cs"/>
          <w:color w:val="000000"/>
          <w:sz w:val="32"/>
          <w:szCs w:val="32"/>
          <w:rtl/>
        </w:rPr>
        <w:t>ً</w:t>
      </w:r>
      <w:r w:rsidR="00313F69" w:rsidRPr="00736B6D">
        <w:rPr>
          <w:color w:val="000000"/>
          <w:sz w:val="32"/>
          <w:szCs w:val="32"/>
          <w:rtl/>
        </w:rPr>
        <w:t>، ضاحين ملبين</w:t>
      </w:r>
      <w:r w:rsidR="00313F69" w:rsidRPr="00736B6D">
        <w:rPr>
          <w:rFonts w:hint="cs"/>
          <w:color w:val="000000"/>
          <w:sz w:val="32"/>
          <w:szCs w:val="32"/>
          <w:rtl/>
        </w:rPr>
        <w:t xml:space="preserve">، </w:t>
      </w:r>
      <w:r w:rsidR="00313F69" w:rsidRPr="00736B6D">
        <w:rPr>
          <w:color w:val="000000"/>
          <w:sz w:val="32"/>
          <w:szCs w:val="32"/>
          <w:rtl/>
        </w:rPr>
        <w:t>فتشملهم الرحمة ثم تنتشر على المقبلين على الله تعالى من أهل الأرض قاطبة.</w:t>
      </w:r>
    </w:p>
    <w:p w:rsidR="00313F69" w:rsidRPr="00736B6D" w:rsidRDefault="00736B6D" w:rsidP="00313F69">
      <w:pPr>
        <w:spacing w:line="240" w:lineRule="auto"/>
        <w:ind w:left="-341" w:right="-284"/>
        <w:jc w:val="both"/>
        <w:rPr>
          <w:color w:val="000000"/>
          <w:sz w:val="32"/>
          <w:szCs w:val="32"/>
          <w:rtl/>
        </w:rPr>
      </w:pPr>
      <w:r>
        <w:rPr>
          <w:rFonts w:hint="cs"/>
          <w:color w:val="000000"/>
          <w:sz w:val="32"/>
          <w:szCs w:val="32"/>
          <w:rtl/>
        </w:rPr>
        <w:t xml:space="preserve">- </w:t>
      </w:r>
      <w:r w:rsidR="00313F69" w:rsidRPr="00736B6D">
        <w:rPr>
          <w:color w:val="000000"/>
          <w:sz w:val="32"/>
          <w:szCs w:val="32"/>
          <w:rtl/>
        </w:rPr>
        <w:t xml:space="preserve">روى ابن حبان في صحيحه عن رسول الله صلى الله عليه وسلم قال: </w:t>
      </w:r>
      <w:r w:rsidR="00313F69" w:rsidRPr="00736B6D">
        <w:rPr>
          <w:rStyle w:val="Char0"/>
          <w:sz w:val="32"/>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p>
    <w:p w:rsidR="00313F69" w:rsidRPr="00736B6D" w:rsidRDefault="00736B6D" w:rsidP="00736B6D">
      <w:pPr>
        <w:spacing w:line="240" w:lineRule="auto"/>
        <w:ind w:left="-341" w:right="-284"/>
        <w:jc w:val="both"/>
        <w:rPr>
          <w:color w:val="000000"/>
          <w:sz w:val="32"/>
          <w:szCs w:val="32"/>
          <w:rtl/>
        </w:rPr>
      </w:pPr>
      <w:r>
        <w:rPr>
          <w:rFonts w:hint="cs"/>
          <w:color w:val="000000"/>
          <w:sz w:val="32"/>
          <w:szCs w:val="32"/>
          <w:rtl/>
        </w:rPr>
        <w:t xml:space="preserve">- </w:t>
      </w:r>
      <w:r w:rsidR="00313F69" w:rsidRPr="00736B6D">
        <w:rPr>
          <w:color w:val="000000"/>
          <w:sz w:val="32"/>
          <w:szCs w:val="32"/>
          <w:rtl/>
        </w:rPr>
        <w:t>خطب رسول الله صلى الله عليه وسلم النَّاس يوم عرفة</w:t>
      </w:r>
      <w:r>
        <w:rPr>
          <w:rFonts w:hint="cs"/>
          <w:color w:val="000000"/>
          <w:sz w:val="32"/>
          <w:szCs w:val="32"/>
          <w:rtl/>
        </w:rPr>
        <w:t xml:space="preserve"> خطبةً، </w:t>
      </w:r>
      <w:r w:rsidR="00313F69" w:rsidRPr="00736B6D">
        <w:rPr>
          <w:color w:val="000000"/>
          <w:sz w:val="32"/>
          <w:szCs w:val="32"/>
          <w:rtl/>
        </w:rPr>
        <w:t xml:space="preserve">حوت </w:t>
      </w:r>
      <w:r>
        <w:rPr>
          <w:rFonts w:hint="cs"/>
          <w:color w:val="000000"/>
          <w:sz w:val="32"/>
          <w:szCs w:val="32"/>
          <w:rtl/>
        </w:rPr>
        <w:t xml:space="preserve">على </w:t>
      </w:r>
      <w:r w:rsidR="00313F69" w:rsidRPr="00736B6D">
        <w:rPr>
          <w:color w:val="000000"/>
          <w:sz w:val="32"/>
          <w:szCs w:val="32"/>
          <w:rtl/>
        </w:rPr>
        <w:t>أربع فقراتٍ مهمَّة جداً، وخاتمةً مؤثرة..</w:t>
      </w:r>
    </w:p>
    <w:p w:rsidR="00313F69" w:rsidRPr="00736B6D" w:rsidRDefault="00313F69" w:rsidP="00736B6D">
      <w:pPr>
        <w:spacing w:line="240" w:lineRule="auto"/>
        <w:ind w:left="-341" w:right="-284"/>
        <w:jc w:val="both"/>
        <w:rPr>
          <w:color w:val="000000"/>
          <w:sz w:val="32"/>
          <w:szCs w:val="32"/>
          <w:rtl/>
        </w:rPr>
      </w:pPr>
      <w:r w:rsidRPr="00736B6D">
        <w:rPr>
          <w:b/>
          <w:bCs/>
          <w:color w:val="000000"/>
          <w:sz w:val="32"/>
          <w:szCs w:val="32"/>
          <w:rtl/>
        </w:rPr>
        <w:t>الفِقْرة الأولى:</w:t>
      </w:r>
      <w:r w:rsidRPr="00736B6D">
        <w:rPr>
          <w:color w:val="000000"/>
          <w:sz w:val="32"/>
          <w:szCs w:val="32"/>
          <w:rtl/>
        </w:rPr>
        <w:t xml:space="preserve"> </w:t>
      </w:r>
      <w:r w:rsidRPr="00736B6D">
        <w:rPr>
          <w:rStyle w:val="Char0"/>
          <w:sz w:val="32"/>
          <w:rtl/>
        </w:rPr>
        <w:t>«إنَّ دماءَكم وأموالَكم حرامٌ عليكم، كحُرمة يومكم هذا، في شهركم هذا، في بلدكم هذا»</w:t>
      </w:r>
      <w:r w:rsidRPr="00736B6D">
        <w:rPr>
          <w:color w:val="000000"/>
          <w:sz w:val="32"/>
          <w:szCs w:val="32"/>
          <w:rtl/>
        </w:rPr>
        <w:t>:</w:t>
      </w:r>
      <w:r w:rsidR="00736B6D">
        <w:rPr>
          <w:rFonts w:hint="cs"/>
          <w:color w:val="000000"/>
          <w:sz w:val="32"/>
          <w:szCs w:val="32"/>
          <w:rtl/>
        </w:rPr>
        <w:t xml:space="preserve"> </w:t>
      </w:r>
      <w:r w:rsidRPr="00736B6D">
        <w:rPr>
          <w:color w:val="000000"/>
          <w:sz w:val="32"/>
          <w:szCs w:val="32"/>
          <w:rtl/>
        </w:rPr>
        <w:t>فلا يجوز في الإسلام الاعتداءُ على دماء الآخرين ولا على أعراضهم ولا على أموالهم، ومن فعل كان كمن اعتدى على حرمة البلد الحرام والشهر الحرام ويوم عرفة.</w:t>
      </w:r>
    </w:p>
    <w:p w:rsidR="00313F69" w:rsidRPr="00736B6D" w:rsidRDefault="00313F69" w:rsidP="00736B6D">
      <w:pPr>
        <w:spacing w:line="240" w:lineRule="auto"/>
        <w:ind w:left="-341" w:right="-284"/>
        <w:jc w:val="both"/>
        <w:rPr>
          <w:color w:val="000000"/>
          <w:sz w:val="32"/>
          <w:szCs w:val="32"/>
          <w:rtl/>
        </w:rPr>
      </w:pPr>
      <w:r w:rsidRPr="00736B6D">
        <w:rPr>
          <w:b/>
          <w:bCs/>
          <w:color w:val="000000"/>
          <w:sz w:val="32"/>
          <w:szCs w:val="32"/>
          <w:rtl/>
        </w:rPr>
        <w:t>الفِقْرة الثَّانية:</w:t>
      </w:r>
      <w:r w:rsidRPr="00736B6D">
        <w:rPr>
          <w:color w:val="000000"/>
          <w:sz w:val="32"/>
          <w:szCs w:val="32"/>
          <w:rtl/>
        </w:rPr>
        <w:t xml:space="preserve"> </w:t>
      </w:r>
      <w:r w:rsidRPr="00736B6D">
        <w:rPr>
          <w:rStyle w:val="Char0"/>
          <w:sz w:val="32"/>
          <w:rtl/>
        </w:rPr>
        <w:t>«ألا كلُّ شيءٍ من أمرِ الجاهليةِ تحتَ قدميَّ موضوعٌ»</w:t>
      </w:r>
      <w:r w:rsidRPr="00736B6D">
        <w:rPr>
          <w:color w:val="000000"/>
          <w:sz w:val="32"/>
          <w:szCs w:val="32"/>
          <w:rtl/>
        </w:rPr>
        <w:t>:</w:t>
      </w:r>
      <w:r w:rsidR="00736B6D">
        <w:rPr>
          <w:rFonts w:hint="cs"/>
          <w:color w:val="000000"/>
          <w:sz w:val="32"/>
          <w:szCs w:val="32"/>
          <w:rtl/>
        </w:rPr>
        <w:t xml:space="preserve"> </w:t>
      </w:r>
      <w:r w:rsidRPr="00736B6D">
        <w:rPr>
          <w:color w:val="000000"/>
          <w:sz w:val="32"/>
          <w:szCs w:val="32"/>
          <w:rtl/>
        </w:rPr>
        <w:t>ثارات الجاهلية موضوعةٌ، ورِبَا الجاهلية موضوعٌ، والجاهلية برمَّتها -فكراً، وسلوكاً، واعتقاداً... مرميَّةٌ تحت قدمَي المسلم</w:t>
      </w:r>
      <w:r w:rsidR="00736B6D">
        <w:rPr>
          <w:rFonts w:hint="cs"/>
          <w:color w:val="000000"/>
          <w:sz w:val="32"/>
          <w:szCs w:val="32"/>
          <w:rtl/>
        </w:rPr>
        <w:t xml:space="preserve">، </w:t>
      </w:r>
      <w:r w:rsidRPr="00736B6D">
        <w:rPr>
          <w:color w:val="000000"/>
          <w:sz w:val="32"/>
          <w:szCs w:val="32"/>
          <w:rtl/>
        </w:rPr>
        <w:t>فالإقبال على الله والتمسك بدينه يقتضي التبرُّؤ من الجاهلية: من أفكارِها ومبادئِها وعاداتِها ومظاهرِها</w:t>
      </w:r>
      <w:r w:rsidR="00736B6D">
        <w:rPr>
          <w:rFonts w:hint="cs"/>
          <w:color w:val="000000"/>
          <w:sz w:val="32"/>
          <w:szCs w:val="32"/>
          <w:rtl/>
        </w:rPr>
        <w:t xml:space="preserve">، </w:t>
      </w:r>
      <w:r w:rsidRPr="00736B6D">
        <w:rPr>
          <w:color w:val="000000"/>
          <w:sz w:val="32"/>
          <w:szCs w:val="32"/>
          <w:rtl/>
        </w:rPr>
        <w:t xml:space="preserve">الرِّبا، الثَّأر، تبرج النِّساء، العلاقات غير المشروعة بين الرِّجال والنِّساء، والموائد التي تُدار عليها الخُمور، وحفلات المجون، وطاولات الميسر والقِمَار... كلُّ هذا وأشباهُهُ يرميه المسلمُ وراءَ ظهرهِ، وينطلقُ إلى الله تعالى، ينطلق إلى العلم النافع والعمل الصالح يتقرب بهما إلى ربه. </w:t>
      </w:r>
    </w:p>
    <w:p w:rsidR="00313F69" w:rsidRPr="00736B6D" w:rsidRDefault="00313F69" w:rsidP="00736B6D">
      <w:pPr>
        <w:spacing w:line="240" w:lineRule="auto"/>
        <w:ind w:left="-341" w:right="-284"/>
        <w:jc w:val="both"/>
        <w:rPr>
          <w:color w:val="000000"/>
          <w:sz w:val="32"/>
          <w:szCs w:val="32"/>
          <w:rtl/>
        </w:rPr>
      </w:pPr>
      <w:r w:rsidRPr="00736B6D">
        <w:rPr>
          <w:b/>
          <w:bCs/>
          <w:color w:val="000000"/>
          <w:sz w:val="32"/>
          <w:szCs w:val="32"/>
          <w:rtl/>
        </w:rPr>
        <w:t>الفِقْرة الثَّالثة:</w:t>
      </w:r>
      <w:r w:rsidRPr="00736B6D">
        <w:rPr>
          <w:color w:val="000000"/>
          <w:sz w:val="32"/>
          <w:szCs w:val="32"/>
          <w:rtl/>
        </w:rPr>
        <w:t xml:space="preserve"> </w:t>
      </w:r>
      <w:r w:rsidRPr="00736B6D">
        <w:rPr>
          <w:rStyle w:val="Char0"/>
          <w:sz w:val="32"/>
          <w:rtl/>
        </w:rPr>
        <w:t>«فاتَّقوا الله في النِّساء، فإنَّكم أخذتموهنَّ بأمان الله..»</w:t>
      </w:r>
      <w:r w:rsidRPr="00736B6D">
        <w:rPr>
          <w:color w:val="000000"/>
          <w:sz w:val="32"/>
          <w:szCs w:val="32"/>
          <w:rtl/>
        </w:rPr>
        <w:t>:</w:t>
      </w:r>
      <w:r w:rsidR="00736B6D">
        <w:rPr>
          <w:rFonts w:hint="cs"/>
          <w:color w:val="000000"/>
          <w:sz w:val="32"/>
          <w:szCs w:val="32"/>
          <w:rtl/>
        </w:rPr>
        <w:t xml:space="preserve"> </w:t>
      </w:r>
      <w:r w:rsidRPr="00736B6D">
        <w:rPr>
          <w:color w:val="000000"/>
          <w:sz w:val="32"/>
          <w:szCs w:val="32"/>
          <w:rtl/>
        </w:rPr>
        <w:t>هذه الوصية بالنِّساء تثبيتاً للعلاقات الأسرية، واهتماماً بالمرأة الأمّ، والمرأة الأخت، والمرأة البنت، والمرأة الزَّوجة..</w:t>
      </w:r>
      <w:r w:rsidR="00736B6D">
        <w:rPr>
          <w:rFonts w:hint="cs"/>
          <w:color w:val="000000"/>
          <w:sz w:val="32"/>
          <w:szCs w:val="32"/>
          <w:rtl/>
        </w:rPr>
        <w:t xml:space="preserve"> </w:t>
      </w:r>
    </w:p>
    <w:p w:rsidR="00313F69" w:rsidRPr="00736B6D" w:rsidRDefault="00313F69" w:rsidP="00736B6D">
      <w:pPr>
        <w:spacing w:line="240" w:lineRule="auto"/>
        <w:ind w:left="-341" w:right="-284"/>
        <w:jc w:val="both"/>
        <w:rPr>
          <w:color w:val="000000"/>
          <w:sz w:val="32"/>
          <w:szCs w:val="32"/>
          <w:rtl/>
        </w:rPr>
      </w:pPr>
      <w:r w:rsidRPr="00736B6D">
        <w:rPr>
          <w:b/>
          <w:bCs/>
          <w:color w:val="000000"/>
          <w:sz w:val="32"/>
          <w:szCs w:val="32"/>
          <w:rtl/>
        </w:rPr>
        <w:t>الفِقْرة الرَّابعة:</w:t>
      </w:r>
      <w:r w:rsidRPr="00736B6D">
        <w:rPr>
          <w:color w:val="000000"/>
          <w:sz w:val="32"/>
          <w:szCs w:val="32"/>
          <w:rtl/>
        </w:rPr>
        <w:t xml:space="preserve"> </w:t>
      </w:r>
      <w:r w:rsidRPr="00736B6D">
        <w:rPr>
          <w:rStyle w:val="Char0"/>
          <w:sz w:val="32"/>
          <w:rtl/>
        </w:rPr>
        <w:t>«وقد تركتُ فيكم ما لن تضلوا بعدهُ إن اعتصمتم به...»</w:t>
      </w:r>
      <w:r w:rsidRPr="00736B6D">
        <w:rPr>
          <w:color w:val="000000"/>
          <w:sz w:val="32"/>
          <w:szCs w:val="32"/>
          <w:rtl/>
        </w:rPr>
        <w:t>:</w:t>
      </w:r>
      <w:r w:rsidR="00736B6D">
        <w:rPr>
          <w:rFonts w:hint="cs"/>
          <w:color w:val="000000"/>
          <w:sz w:val="32"/>
          <w:szCs w:val="32"/>
          <w:rtl/>
        </w:rPr>
        <w:t xml:space="preserve"> </w:t>
      </w:r>
      <w:r w:rsidRPr="00736B6D">
        <w:rPr>
          <w:color w:val="000000"/>
          <w:sz w:val="32"/>
          <w:szCs w:val="32"/>
          <w:rtl/>
        </w:rPr>
        <w:t>فالقرآن الكريم والسُّنة الشَّريفة، سفينةُ نجاتنا في الدُّنيا والآخرة، ونحن قومٌ أعزَّنا الله بهما، ومهما أردنا العزَّة بغيرهما فارقتنا العزَّة.</w:t>
      </w:r>
    </w:p>
    <w:p w:rsidR="00736B6D" w:rsidRDefault="00313F69" w:rsidP="00736B6D">
      <w:pPr>
        <w:pStyle w:val="ListParagraph"/>
        <w:numPr>
          <w:ilvl w:val="0"/>
          <w:numId w:val="14"/>
        </w:numPr>
        <w:spacing w:line="240" w:lineRule="auto"/>
        <w:ind w:right="-284"/>
        <w:jc w:val="both"/>
        <w:rPr>
          <w:color w:val="000000"/>
          <w:sz w:val="32"/>
          <w:szCs w:val="32"/>
        </w:rPr>
      </w:pPr>
      <w:r w:rsidRPr="00736B6D">
        <w:rPr>
          <w:color w:val="000000"/>
          <w:sz w:val="32"/>
          <w:szCs w:val="32"/>
          <w:rtl/>
        </w:rPr>
        <w:t xml:space="preserve">هذه فقرات خطبة النَّبيِّ </w:t>
      </w:r>
      <w:r w:rsidRPr="00736B6D">
        <w:rPr>
          <w:rFonts w:hint="cs"/>
          <w:color w:val="000000"/>
          <w:sz w:val="32"/>
          <w:szCs w:val="32"/>
          <w:rtl/>
        </w:rPr>
        <w:t>صلى الله عليه وسلم</w:t>
      </w:r>
      <w:r w:rsidRPr="00736B6D">
        <w:rPr>
          <w:color w:val="000000"/>
          <w:sz w:val="32"/>
          <w:szCs w:val="32"/>
          <w:rtl/>
        </w:rPr>
        <w:t xml:space="preserve"> يوم عرفة الأربع</w:t>
      </w:r>
      <w:r w:rsidR="00736B6D">
        <w:rPr>
          <w:rFonts w:hint="cs"/>
          <w:color w:val="000000"/>
          <w:sz w:val="32"/>
          <w:szCs w:val="32"/>
          <w:rtl/>
        </w:rPr>
        <w:t>.</w:t>
      </w:r>
    </w:p>
    <w:p w:rsidR="00313F69" w:rsidRPr="00736B6D" w:rsidRDefault="00313F69" w:rsidP="00736B6D">
      <w:pPr>
        <w:pStyle w:val="ListParagraph"/>
        <w:numPr>
          <w:ilvl w:val="0"/>
          <w:numId w:val="14"/>
        </w:numPr>
        <w:spacing w:line="240" w:lineRule="auto"/>
        <w:ind w:right="-284"/>
        <w:jc w:val="both"/>
        <w:rPr>
          <w:color w:val="000000"/>
          <w:sz w:val="32"/>
          <w:szCs w:val="32"/>
          <w:rtl/>
        </w:rPr>
      </w:pPr>
      <w:r w:rsidRPr="00736B6D">
        <w:rPr>
          <w:color w:val="000000"/>
          <w:sz w:val="32"/>
          <w:szCs w:val="32"/>
          <w:rtl/>
        </w:rPr>
        <w:t xml:space="preserve"> ثم تأتي الخاتمة المؤثرة، فقد أرسل الله تعالى رسوله بشيراً ونذيراً، ورسول الله صلى الله عليه وسلم حريص جدا على امتثال أمر الله تعالى، خائفٌ ألا يكون أدى الذي أمر به؛ وها قد اكتمل الدين وتمت الرسالت ودنا الأجل وقرب الرحيل إلى الله تعالى ، لذا نجده </w:t>
      </w:r>
      <w:r w:rsidRPr="00736B6D">
        <w:rPr>
          <w:rFonts w:hint="cs"/>
          <w:color w:val="000000"/>
          <w:sz w:val="32"/>
          <w:szCs w:val="32"/>
          <w:rtl/>
        </w:rPr>
        <w:t>صلى الله عليه وسلم</w:t>
      </w:r>
      <w:r w:rsidRPr="00736B6D">
        <w:rPr>
          <w:color w:val="000000"/>
          <w:sz w:val="32"/>
          <w:szCs w:val="32"/>
          <w:rtl/>
        </w:rPr>
        <w:t xml:space="preserve"> في خاتمة الخطبة يستنطقَ النَّاس الجوابَ: </w:t>
      </w:r>
      <w:r w:rsidRPr="00736B6D">
        <w:rPr>
          <w:rStyle w:val="Char0"/>
          <w:sz w:val="32"/>
          <w:rtl/>
        </w:rPr>
        <w:t>«هل بَلَّغت؟»</w:t>
      </w:r>
      <w:r w:rsidRPr="00736B6D">
        <w:rPr>
          <w:color w:val="000000"/>
          <w:sz w:val="32"/>
          <w:szCs w:val="32"/>
          <w:rtl/>
        </w:rPr>
        <w:t xml:space="preserve"> فلمَّا قالوا: نعم بلغْتَ، ونصحتَ، وأديتَ، راحَ يُشير بأُصبعه إلى السَّماء، وإلى النَّاس </w:t>
      </w:r>
      <w:r w:rsidRPr="00736B6D">
        <w:rPr>
          <w:rStyle w:val="Char0"/>
          <w:sz w:val="32"/>
          <w:rtl/>
        </w:rPr>
        <w:t>«اللَّهمَّ اشهدْ، اللَّهمَّ اشهدْ، اللَّهمَّ اشهدْ»</w:t>
      </w:r>
      <w:r w:rsidRPr="00736B6D">
        <w:rPr>
          <w:color w:val="000000"/>
          <w:sz w:val="32"/>
          <w:szCs w:val="32"/>
          <w:rtl/>
        </w:rPr>
        <w:t>.</w:t>
      </w:r>
    </w:p>
    <w:p w:rsidR="002C52C3" w:rsidRPr="00736B6D" w:rsidRDefault="002C52C3" w:rsidP="00313F69">
      <w:pPr>
        <w:spacing w:line="240" w:lineRule="auto"/>
        <w:ind w:left="-341" w:right="-284"/>
        <w:jc w:val="center"/>
        <w:rPr>
          <w:color w:val="FF0000"/>
          <w:sz w:val="32"/>
          <w:szCs w:val="32"/>
        </w:rPr>
      </w:pPr>
      <w:bookmarkStart w:id="0" w:name="_GoBack"/>
      <w:bookmarkEnd w:id="0"/>
      <w:r w:rsidRPr="00736B6D">
        <w:rPr>
          <w:rFonts w:hint="cs"/>
          <w:color w:val="FF0000"/>
          <w:sz w:val="32"/>
          <w:szCs w:val="32"/>
          <w:rtl/>
        </w:rPr>
        <w:t>والحمد لله رب العالمين</w:t>
      </w:r>
    </w:p>
    <w:sectPr w:rsidR="002C52C3" w:rsidRPr="00736B6D" w:rsidSect="00736B6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5CE3D22"/>
    <w:multiLevelType w:val="hybridMultilevel"/>
    <w:tmpl w:val="450AF148"/>
    <w:lvl w:ilvl="0" w:tplc="051445E2">
      <w:numFmt w:val="bullet"/>
      <w:lvlText w:val="-"/>
      <w:lvlJc w:val="left"/>
      <w:pPr>
        <w:ind w:left="19" w:hanging="360"/>
      </w:pPr>
      <w:rPr>
        <w:rFonts w:ascii="Traditional Arabic" w:eastAsiaTheme="minorHAnsi" w:hAnsi="Traditional Arabic" w:cs="Traditional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2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439D"/>
    <w:rsid w:val="001C679E"/>
    <w:rsid w:val="001D490D"/>
    <w:rsid w:val="001F3B8A"/>
    <w:rsid w:val="00236371"/>
    <w:rsid w:val="00243595"/>
    <w:rsid w:val="0029359D"/>
    <w:rsid w:val="002A571E"/>
    <w:rsid w:val="002B123F"/>
    <w:rsid w:val="002C3986"/>
    <w:rsid w:val="002C52C3"/>
    <w:rsid w:val="002E0337"/>
    <w:rsid w:val="002E2FF9"/>
    <w:rsid w:val="00310BA8"/>
    <w:rsid w:val="00313F69"/>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5B4C"/>
    <w:rsid w:val="0054555C"/>
    <w:rsid w:val="00564A7E"/>
    <w:rsid w:val="00572007"/>
    <w:rsid w:val="005847DB"/>
    <w:rsid w:val="005A0643"/>
    <w:rsid w:val="005B051A"/>
    <w:rsid w:val="005B52D2"/>
    <w:rsid w:val="005C398A"/>
    <w:rsid w:val="005D10E3"/>
    <w:rsid w:val="005F2637"/>
    <w:rsid w:val="006350A8"/>
    <w:rsid w:val="00653DAE"/>
    <w:rsid w:val="006540D6"/>
    <w:rsid w:val="0067490B"/>
    <w:rsid w:val="006760B6"/>
    <w:rsid w:val="00690AD4"/>
    <w:rsid w:val="00693C0C"/>
    <w:rsid w:val="00696050"/>
    <w:rsid w:val="006B0C7B"/>
    <w:rsid w:val="007002B1"/>
    <w:rsid w:val="00705D1E"/>
    <w:rsid w:val="00714019"/>
    <w:rsid w:val="00736B6D"/>
    <w:rsid w:val="00755459"/>
    <w:rsid w:val="007628AB"/>
    <w:rsid w:val="00784A3E"/>
    <w:rsid w:val="00794F71"/>
    <w:rsid w:val="007B5246"/>
    <w:rsid w:val="007B6545"/>
    <w:rsid w:val="007D7344"/>
    <w:rsid w:val="007E179C"/>
    <w:rsid w:val="008314EB"/>
    <w:rsid w:val="0085602D"/>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3A58"/>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33BE"/>
    <w:rsid w:val="00EB3024"/>
    <w:rsid w:val="00ED14BE"/>
    <w:rsid w:val="00ED155E"/>
    <w:rsid w:val="00EE0A52"/>
    <w:rsid w:val="00EE7199"/>
    <w:rsid w:val="00F54693"/>
    <w:rsid w:val="00F70FDC"/>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EB19"/>
  <w15:docId w15:val="{9159CED3-38DE-4D22-AFDD-A9467C4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 w:type="table" w:styleId="TableGrid">
    <w:name w:val="Table Grid"/>
    <w:basedOn w:val="TableNormal"/>
    <w:uiPriority w:val="59"/>
    <w:rsid w:val="00F7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91">
      <w:bodyDiv w:val="1"/>
      <w:marLeft w:val="0"/>
      <w:marRight w:val="0"/>
      <w:marTop w:val="0"/>
      <w:marBottom w:val="0"/>
      <w:divBdr>
        <w:top w:val="none" w:sz="0" w:space="0" w:color="auto"/>
        <w:left w:val="none" w:sz="0" w:space="0" w:color="auto"/>
        <w:bottom w:val="none" w:sz="0" w:space="0" w:color="auto"/>
        <w:right w:val="none" w:sz="0" w:space="0" w:color="auto"/>
      </w:divBdr>
    </w:div>
    <w:div w:id="647247302">
      <w:bodyDiv w:val="1"/>
      <w:marLeft w:val="0"/>
      <w:marRight w:val="0"/>
      <w:marTop w:val="0"/>
      <w:marBottom w:val="0"/>
      <w:divBdr>
        <w:top w:val="none" w:sz="0" w:space="0" w:color="auto"/>
        <w:left w:val="none" w:sz="0" w:space="0" w:color="auto"/>
        <w:bottom w:val="none" w:sz="0" w:space="0" w:color="auto"/>
        <w:right w:val="none" w:sz="0" w:space="0" w:color="auto"/>
      </w:divBdr>
    </w:div>
    <w:div w:id="8539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99</TotalTime>
  <Pages>1</Pages>
  <Words>394</Words>
  <Characters>2248</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M.Aliwe</cp:lastModifiedBy>
  <cp:revision>13</cp:revision>
  <dcterms:created xsi:type="dcterms:W3CDTF">2019-02-02T07:18:00Z</dcterms:created>
  <dcterms:modified xsi:type="dcterms:W3CDTF">2019-08-10T10:27:00Z</dcterms:modified>
</cp:coreProperties>
</file>