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793205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793205">
        <w:rPr>
          <w:rFonts w:hint="cs"/>
          <w:color w:val="000000"/>
          <w:sz w:val="24"/>
          <w:szCs w:val="24"/>
          <w:rtl/>
        </w:rPr>
        <w:t>2</w:t>
      </w:r>
      <w:r w:rsidRPr="004A51B3">
        <w:rPr>
          <w:color w:val="000000"/>
          <w:sz w:val="24"/>
          <w:szCs w:val="24"/>
          <w:rtl/>
        </w:rPr>
        <w:t>/</w:t>
      </w:r>
      <w:r w:rsidR="006E1A5B">
        <w:rPr>
          <w:rFonts w:hint="cs"/>
          <w:color w:val="000000"/>
          <w:sz w:val="24"/>
          <w:szCs w:val="24"/>
          <w:rtl/>
        </w:rPr>
        <w:t xml:space="preserve"> </w:t>
      </w:r>
      <w:r w:rsidR="00793205">
        <w:rPr>
          <w:rFonts w:hint="cs"/>
          <w:color w:val="000000"/>
          <w:sz w:val="24"/>
          <w:szCs w:val="24"/>
          <w:rtl/>
        </w:rPr>
        <w:t>2</w:t>
      </w:r>
      <w:r w:rsidRPr="004A51B3">
        <w:rPr>
          <w:color w:val="000000"/>
          <w:sz w:val="24"/>
          <w:szCs w:val="24"/>
          <w:rtl/>
        </w:rPr>
        <w:t>/</w:t>
      </w:r>
      <w:r w:rsidR="006E1A5B">
        <w:rPr>
          <w:rFonts w:hint="cs"/>
          <w:color w:val="000000"/>
          <w:sz w:val="24"/>
          <w:szCs w:val="24"/>
          <w:rtl/>
        </w:rPr>
        <w:t xml:space="preserve"> </w:t>
      </w:r>
      <w:r w:rsidRPr="004A51B3">
        <w:rPr>
          <w:color w:val="000000"/>
          <w:sz w:val="24"/>
          <w:szCs w:val="24"/>
          <w:rtl/>
        </w:rPr>
        <w:t>201</w:t>
      </w:r>
      <w:r w:rsidR="00793205">
        <w:rPr>
          <w:rFonts w:hint="cs"/>
          <w:color w:val="000000"/>
          <w:sz w:val="24"/>
          <w:szCs w:val="24"/>
          <w:rtl/>
        </w:rPr>
        <w:t>8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Pr="004A51B3">
        <w:rPr>
          <w:color w:val="000000"/>
          <w:sz w:val="24"/>
          <w:szCs w:val="24"/>
          <w:rtl/>
        </w:rPr>
        <w:t xml:space="preserve">,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793205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793205">
        <w:rPr>
          <w:rFonts w:hint="cs"/>
          <w:b/>
          <w:bCs/>
          <w:color w:val="006600"/>
          <w:sz w:val="32"/>
          <w:szCs w:val="32"/>
          <w:rtl/>
        </w:rPr>
        <w:t>لا ذكورية في الفقه الإسلامي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793205" w:rsidRPr="00793205" w:rsidRDefault="00793205" w:rsidP="0079320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793205">
        <w:rPr>
          <w:color w:val="000000"/>
          <w:sz w:val="32"/>
          <w:szCs w:val="32"/>
          <w:rtl/>
        </w:rPr>
        <w:t xml:space="preserve">ذكورية الفقه ورجوليته مقولة شيطانية أخذت تطرق الأسماع وتشق طريقها إلى بعض القلوب. </w:t>
      </w:r>
    </w:p>
    <w:p w:rsidR="00793205" w:rsidRPr="00793205" w:rsidRDefault="00793205" w:rsidP="0079320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793205">
        <w:rPr>
          <w:color w:val="000000"/>
          <w:sz w:val="32"/>
          <w:szCs w:val="32"/>
          <w:rtl/>
        </w:rPr>
        <w:t>يقول أصحاب هذه المقولة إن فقهاء الإسلام بنظرتهم الذكورية كتبوا لنا فقها</w:t>
      </w:r>
      <w:r w:rsidRPr="00793205">
        <w:rPr>
          <w:rFonts w:hint="cs"/>
          <w:color w:val="000000"/>
          <w:sz w:val="32"/>
          <w:szCs w:val="32"/>
          <w:rtl/>
        </w:rPr>
        <w:t>ً</w:t>
      </w:r>
      <w:r w:rsidRPr="00793205">
        <w:rPr>
          <w:color w:val="000000"/>
          <w:sz w:val="32"/>
          <w:szCs w:val="32"/>
          <w:rtl/>
        </w:rPr>
        <w:t xml:space="preserve"> ذكوريا</w:t>
      </w:r>
      <w:r w:rsidRPr="00793205">
        <w:rPr>
          <w:rFonts w:hint="cs"/>
          <w:color w:val="000000"/>
          <w:sz w:val="32"/>
          <w:szCs w:val="32"/>
          <w:rtl/>
        </w:rPr>
        <w:t>ً</w:t>
      </w:r>
      <w:r w:rsidRPr="00793205">
        <w:rPr>
          <w:color w:val="000000"/>
          <w:sz w:val="32"/>
          <w:szCs w:val="32"/>
          <w:rtl/>
        </w:rPr>
        <w:t xml:space="preserve"> رب</w:t>
      </w:r>
      <w:r w:rsidRPr="00793205">
        <w:rPr>
          <w:rFonts w:hint="cs"/>
          <w:color w:val="000000"/>
          <w:sz w:val="32"/>
          <w:szCs w:val="32"/>
          <w:rtl/>
        </w:rPr>
        <w:t>ّ</w:t>
      </w:r>
      <w:r w:rsidRPr="00793205">
        <w:rPr>
          <w:color w:val="000000"/>
          <w:sz w:val="32"/>
          <w:szCs w:val="32"/>
          <w:rtl/>
        </w:rPr>
        <w:t>ى مجتمعا</w:t>
      </w:r>
      <w:r w:rsidRPr="00793205">
        <w:rPr>
          <w:rFonts w:hint="cs"/>
          <w:color w:val="000000"/>
          <w:sz w:val="32"/>
          <w:szCs w:val="32"/>
          <w:rtl/>
        </w:rPr>
        <w:t>ً</w:t>
      </w:r>
      <w:r w:rsidRPr="00793205">
        <w:rPr>
          <w:color w:val="000000"/>
          <w:sz w:val="32"/>
          <w:szCs w:val="32"/>
          <w:rtl/>
        </w:rPr>
        <w:t xml:space="preserve"> ذكوريا</w:t>
      </w:r>
      <w:r w:rsidRPr="00793205">
        <w:rPr>
          <w:rFonts w:hint="cs"/>
          <w:color w:val="000000"/>
          <w:sz w:val="32"/>
          <w:szCs w:val="32"/>
          <w:rtl/>
        </w:rPr>
        <w:t>ً</w:t>
      </w:r>
      <w:r w:rsidRPr="00793205">
        <w:rPr>
          <w:color w:val="000000"/>
          <w:sz w:val="32"/>
          <w:szCs w:val="32"/>
          <w:rtl/>
        </w:rPr>
        <w:t>، يظلم فيه الزوج زوجته ويعتدي فيه الأخ على حق أخته ويعق الابن فيه أمه وتعيش المرأة فيه حبيسة الدار معزولة عن التحرر والتطور، بينما ينعم بالخيرات الذكور.</w:t>
      </w:r>
    </w:p>
    <w:p w:rsidR="00793205" w:rsidRPr="00793205" w:rsidRDefault="00C613A9" w:rsidP="00C613A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793205" w:rsidRPr="00793205">
        <w:rPr>
          <w:color w:val="000000"/>
          <w:sz w:val="32"/>
          <w:szCs w:val="32"/>
          <w:rtl/>
        </w:rPr>
        <w:t xml:space="preserve">وللرد على هذه المقولة الجاهلة الداعية للسخرية </w:t>
      </w:r>
      <w:r w:rsidR="00793205">
        <w:rPr>
          <w:rFonts w:hint="cs"/>
          <w:color w:val="000000"/>
          <w:sz w:val="32"/>
          <w:szCs w:val="32"/>
          <w:rtl/>
        </w:rPr>
        <w:t xml:space="preserve">رأيت </w:t>
      </w:r>
      <w:r w:rsidR="00793205" w:rsidRPr="00793205">
        <w:rPr>
          <w:color w:val="000000"/>
          <w:sz w:val="32"/>
          <w:szCs w:val="32"/>
          <w:rtl/>
        </w:rPr>
        <w:t>كتاب</w:t>
      </w:r>
      <w:r w:rsidR="00793205">
        <w:rPr>
          <w:rFonts w:hint="cs"/>
          <w:color w:val="000000"/>
          <w:sz w:val="32"/>
          <w:szCs w:val="32"/>
          <w:rtl/>
        </w:rPr>
        <w:t>اً</w:t>
      </w:r>
      <w:r w:rsidR="00793205" w:rsidRPr="00793205">
        <w:rPr>
          <w:color w:val="000000"/>
          <w:sz w:val="32"/>
          <w:szCs w:val="32"/>
          <w:rtl/>
        </w:rPr>
        <w:t xml:space="preserve"> مؤلف</w:t>
      </w:r>
      <w:r w:rsidR="00793205">
        <w:rPr>
          <w:rFonts w:hint="cs"/>
          <w:color w:val="000000"/>
          <w:sz w:val="32"/>
          <w:szCs w:val="32"/>
          <w:rtl/>
        </w:rPr>
        <w:t>اً</w:t>
      </w:r>
      <w:r w:rsidR="00793205" w:rsidRPr="00793205">
        <w:rPr>
          <w:color w:val="000000"/>
          <w:sz w:val="32"/>
          <w:szCs w:val="32"/>
          <w:rtl/>
        </w:rPr>
        <w:t xml:space="preserve"> من تسعين ورقة وجدته قيما</w:t>
      </w:r>
      <w:r w:rsidR="00793205" w:rsidRPr="00793205">
        <w:rPr>
          <w:rFonts w:hint="cs"/>
          <w:color w:val="000000"/>
          <w:sz w:val="32"/>
          <w:szCs w:val="32"/>
          <w:rtl/>
        </w:rPr>
        <w:t>ً</w:t>
      </w:r>
      <w:r w:rsidR="00793205" w:rsidRPr="00793205">
        <w:rPr>
          <w:color w:val="000000"/>
          <w:sz w:val="32"/>
          <w:szCs w:val="32"/>
          <w:rtl/>
        </w:rPr>
        <w:t xml:space="preserve"> في هذه المغالطة عنوانه (لا</w:t>
      </w:r>
      <w:r w:rsidR="00793205" w:rsidRPr="00793205"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color w:val="000000"/>
          <w:sz w:val="32"/>
          <w:szCs w:val="32"/>
          <w:rtl/>
        </w:rPr>
        <w:t xml:space="preserve">ذكورية في الفقه) للأستاذ الدكتور محمد </w:t>
      </w:r>
      <w:proofErr w:type="spellStart"/>
      <w:r w:rsidR="00793205" w:rsidRPr="00793205">
        <w:rPr>
          <w:color w:val="000000"/>
          <w:sz w:val="32"/>
          <w:szCs w:val="32"/>
          <w:rtl/>
        </w:rPr>
        <w:t>التاويل</w:t>
      </w:r>
      <w:proofErr w:type="spellEnd"/>
      <w:r w:rsidR="00793205">
        <w:rPr>
          <w:color w:val="000000"/>
          <w:sz w:val="32"/>
          <w:szCs w:val="32"/>
          <w:rtl/>
        </w:rPr>
        <w:t>،</w:t>
      </w:r>
      <w:r w:rsidR="00793205"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color w:val="000000"/>
          <w:sz w:val="32"/>
          <w:szCs w:val="32"/>
          <w:rtl/>
        </w:rPr>
        <w:t>يقول المؤلف: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rFonts w:hint="cs"/>
          <w:color w:val="000000"/>
          <w:sz w:val="32"/>
          <w:szCs w:val="32"/>
          <w:rtl/>
        </w:rPr>
        <w:t>(</w:t>
      </w:r>
      <w:r w:rsidR="00793205" w:rsidRPr="00793205">
        <w:rPr>
          <w:color w:val="000000"/>
          <w:sz w:val="32"/>
          <w:szCs w:val="32"/>
          <w:rtl/>
        </w:rPr>
        <w:t>إن اتهام الفقه بالذكورية جهالة بمفهوم الفقه الإسلامي وطبيعته وعلاقة الفقيه به ومدى تأثره أو تأثيره فيه، لأن من لا</w:t>
      </w:r>
      <w:r w:rsidR="00793205" w:rsidRPr="00793205"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color w:val="000000"/>
          <w:sz w:val="32"/>
          <w:szCs w:val="32"/>
          <w:rtl/>
        </w:rPr>
        <w:t>صلة له بالفقه يظن أن الفقه عمل بشري يتأثر بأحاسيس الفقيه ومشاعره وينبعث من عواطفه وميوله ويعبر عن آرائه وطموحاته.! وليس يعلم أن الفقيه إنسان ملك أدوات الاست</w:t>
      </w:r>
      <w:r w:rsidR="00793205" w:rsidRPr="00793205">
        <w:rPr>
          <w:rFonts w:hint="cs"/>
          <w:color w:val="000000"/>
          <w:sz w:val="32"/>
          <w:szCs w:val="32"/>
          <w:rtl/>
        </w:rPr>
        <w:t>ن</w:t>
      </w:r>
      <w:r w:rsidR="00793205" w:rsidRPr="00793205">
        <w:rPr>
          <w:color w:val="000000"/>
          <w:sz w:val="32"/>
          <w:szCs w:val="32"/>
          <w:rtl/>
        </w:rPr>
        <w:t>باط وأتقن صنعة التعامل مع النصوص منضبطا</w:t>
      </w:r>
      <w:r w:rsidR="00793205" w:rsidRPr="00793205">
        <w:rPr>
          <w:rFonts w:hint="cs"/>
          <w:color w:val="000000"/>
          <w:sz w:val="32"/>
          <w:szCs w:val="32"/>
          <w:rtl/>
        </w:rPr>
        <w:t>ً</w:t>
      </w:r>
      <w:r w:rsidR="00793205" w:rsidRPr="00793205">
        <w:rPr>
          <w:color w:val="000000"/>
          <w:sz w:val="32"/>
          <w:szCs w:val="32"/>
          <w:rtl/>
        </w:rPr>
        <w:t xml:space="preserve"> بقواعد أصول الفقه فيستخرج الأحكام الفقهية </w:t>
      </w:r>
      <w:r>
        <w:rPr>
          <w:color w:val="000000"/>
          <w:sz w:val="32"/>
          <w:szCs w:val="32"/>
          <w:rtl/>
        </w:rPr>
        <w:t>وفق القواعد من أدلتها الشرعية.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color w:val="000000"/>
          <w:sz w:val="32"/>
          <w:szCs w:val="32"/>
          <w:rtl/>
        </w:rPr>
        <w:t>فالفقه هو مجرد العلم والمعرفة بتلك الأحكام فقط، لا شرعَها ولا سنَّها، وال</w:t>
      </w:r>
      <w:r>
        <w:rPr>
          <w:color w:val="000000"/>
          <w:sz w:val="32"/>
          <w:szCs w:val="32"/>
          <w:rtl/>
        </w:rPr>
        <w:t>فقيه لا يحكم ولا يُشَرِّع حكما</w:t>
      </w:r>
      <w:r>
        <w:rPr>
          <w:rFonts w:hint="cs"/>
          <w:color w:val="000000"/>
          <w:sz w:val="32"/>
          <w:szCs w:val="32"/>
          <w:rtl/>
        </w:rPr>
        <w:t xml:space="preserve">، </w:t>
      </w:r>
      <w:r w:rsidR="00793205" w:rsidRPr="00793205">
        <w:rPr>
          <w:color w:val="000000"/>
          <w:sz w:val="32"/>
          <w:szCs w:val="32"/>
          <w:rtl/>
        </w:rPr>
        <w:t>فينحصر دور الفقيه والفقيهة في البحث عن الحكم واكتشافه بوسائل محددة يستوي في التزامها والتقيد بها الرجل والمرأة. وليست تميل إلى أو تحيف على أحدهما.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color w:val="000000"/>
          <w:sz w:val="32"/>
          <w:szCs w:val="32"/>
          <w:rtl/>
        </w:rPr>
        <w:t>فلا ذكورية في الفقه الإسلامي ولا أنثوية فيه، بل يدور الحكم مع الدليل وجودا</w:t>
      </w:r>
      <w:r w:rsidR="00793205" w:rsidRPr="00793205">
        <w:rPr>
          <w:rFonts w:hint="cs"/>
          <w:color w:val="000000"/>
          <w:sz w:val="32"/>
          <w:szCs w:val="32"/>
          <w:rtl/>
        </w:rPr>
        <w:t>ً</w:t>
      </w:r>
      <w:r w:rsidR="00793205" w:rsidRPr="00793205">
        <w:rPr>
          <w:color w:val="000000"/>
          <w:sz w:val="32"/>
          <w:szCs w:val="32"/>
          <w:rtl/>
        </w:rPr>
        <w:t xml:space="preserve"> وعدما</w:t>
      </w:r>
      <w:r w:rsidR="00793205" w:rsidRPr="00793205">
        <w:rPr>
          <w:rFonts w:hint="cs"/>
          <w:color w:val="000000"/>
          <w:sz w:val="32"/>
          <w:szCs w:val="32"/>
          <w:rtl/>
        </w:rPr>
        <w:t>ً</w:t>
      </w:r>
      <w:r w:rsidR="00793205" w:rsidRPr="00793205">
        <w:rPr>
          <w:color w:val="000000"/>
          <w:sz w:val="32"/>
          <w:szCs w:val="32"/>
          <w:rtl/>
        </w:rPr>
        <w:t>.</w:t>
      </w:r>
      <w:r>
        <w:rPr>
          <w:rFonts w:hint="cs"/>
          <w:color w:val="000000"/>
          <w:sz w:val="32"/>
          <w:szCs w:val="32"/>
          <w:rtl/>
        </w:rPr>
        <w:t xml:space="preserve"> - </w:t>
      </w:r>
      <w:r w:rsidR="00793205" w:rsidRPr="00793205">
        <w:rPr>
          <w:color w:val="000000"/>
          <w:sz w:val="32"/>
          <w:szCs w:val="32"/>
          <w:rtl/>
        </w:rPr>
        <w:t>وسأدفع فرية ذكورية الفقه الإسلامي من خلال ثلاث نقاط:</w:t>
      </w:r>
    </w:p>
    <w:p w:rsidR="00793205" w:rsidRPr="00793205" w:rsidRDefault="00793205" w:rsidP="0079320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793205">
        <w:rPr>
          <w:b/>
          <w:bCs/>
          <w:color w:val="000000"/>
          <w:sz w:val="32"/>
          <w:szCs w:val="32"/>
          <w:rtl/>
        </w:rPr>
        <w:t>أولاً: اجتهادات فقهاء تميل لصالح المرأة، واجتهادات فقيهات تميل لصالح الرجل.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793205">
        <w:rPr>
          <w:color w:val="000000"/>
          <w:sz w:val="32"/>
          <w:szCs w:val="32"/>
          <w:rtl/>
        </w:rPr>
        <w:t>من ذلك هذه المسائل:</w:t>
      </w:r>
    </w:p>
    <w:p w:rsidR="00793205" w:rsidRPr="00793205" w:rsidRDefault="00793205" w:rsidP="0079320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793205">
        <w:rPr>
          <w:color w:val="000000"/>
          <w:sz w:val="32"/>
          <w:szCs w:val="32"/>
          <w:rtl/>
        </w:rPr>
        <w:t>1-</w:t>
      </w:r>
      <w:r w:rsidRPr="00793205">
        <w:rPr>
          <w:color w:val="000000"/>
          <w:sz w:val="32"/>
          <w:szCs w:val="32"/>
          <w:rtl/>
        </w:rPr>
        <w:tab/>
        <w:t>حق المرأة في الخروج للمسجد: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793205">
        <w:rPr>
          <w:color w:val="000000"/>
          <w:sz w:val="32"/>
          <w:szCs w:val="32"/>
          <w:rtl/>
        </w:rPr>
        <w:t xml:space="preserve">كانت السيدة عائشة رضي الله عنها ترى منع النساء من ذلك وتقول: </w:t>
      </w:r>
      <w:r w:rsidRPr="00793205">
        <w:rPr>
          <w:rFonts w:hint="cs"/>
          <w:color w:val="000000"/>
          <w:sz w:val="32"/>
          <w:szCs w:val="32"/>
          <w:rtl/>
        </w:rPr>
        <w:t>"</w:t>
      </w:r>
      <w:r w:rsidRPr="00793205">
        <w:rPr>
          <w:color w:val="000000"/>
          <w:sz w:val="32"/>
          <w:szCs w:val="32"/>
          <w:rtl/>
        </w:rPr>
        <w:t xml:space="preserve">لو أن رسول الله صلى الله عليه وسلم رأى من النساء ما رأينا لمنعهن من المسجد كما منعت بنو إسرائيل نساءها" [مسلم].  </w:t>
      </w:r>
    </w:p>
    <w:p w:rsidR="00793205" w:rsidRPr="00793205" w:rsidRDefault="00793205" w:rsidP="0079320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793205">
        <w:rPr>
          <w:color w:val="000000"/>
          <w:sz w:val="32"/>
          <w:szCs w:val="32"/>
          <w:rtl/>
        </w:rPr>
        <w:t xml:space="preserve">بينما كان ابن عمر رضي الله عنه كان يرى أن للمرأة الحق في الخروج للمسجد لحديث </w:t>
      </w:r>
      <w:r w:rsidRPr="00793205">
        <w:rPr>
          <w:rStyle w:val="Char2"/>
          <w:rFonts w:hint="cs"/>
          <w:sz w:val="32"/>
          <w:szCs w:val="32"/>
          <w:rtl/>
        </w:rPr>
        <w:t>«</w:t>
      </w:r>
      <w:r w:rsidRPr="00793205">
        <w:rPr>
          <w:rStyle w:val="Char2"/>
          <w:sz w:val="32"/>
          <w:szCs w:val="32"/>
          <w:rtl/>
        </w:rPr>
        <w:t>لا</w:t>
      </w:r>
      <w:r w:rsidRPr="00793205">
        <w:rPr>
          <w:rStyle w:val="Char2"/>
          <w:rFonts w:hint="cs"/>
          <w:sz w:val="32"/>
          <w:szCs w:val="32"/>
          <w:rtl/>
        </w:rPr>
        <w:t xml:space="preserve"> </w:t>
      </w:r>
      <w:r w:rsidRPr="00793205">
        <w:rPr>
          <w:rStyle w:val="Char2"/>
          <w:sz w:val="32"/>
          <w:szCs w:val="32"/>
          <w:rtl/>
        </w:rPr>
        <w:t>تمنعوا النساء أن يخرجن إلى المساجد، وبيوتهن خير لهن</w:t>
      </w:r>
      <w:r w:rsidRPr="00793205">
        <w:rPr>
          <w:rStyle w:val="Char2"/>
          <w:rFonts w:hint="cs"/>
          <w:sz w:val="32"/>
          <w:szCs w:val="32"/>
          <w:rtl/>
        </w:rPr>
        <w:t>»</w:t>
      </w:r>
      <w:r w:rsidRPr="00793205">
        <w:rPr>
          <w:color w:val="000000"/>
          <w:sz w:val="32"/>
          <w:szCs w:val="32"/>
          <w:rtl/>
        </w:rPr>
        <w:t xml:space="preserve"> [أبو داود]. في حديث آخر </w:t>
      </w:r>
      <w:r w:rsidRPr="00793205">
        <w:rPr>
          <w:rStyle w:val="Char2"/>
          <w:rFonts w:hint="cs"/>
          <w:sz w:val="32"/>
          <w:szCs w:val="32"/>
          <w:rtl/>
        </w:rPr>
        <w:t>«</w:t>
      </w:r>
      <w:r w:rsidRPr="00793205">
        <w:rPr>
          <w:rStyle w:val="Char2"/>
          <w:sz w:val="32"/>
          <w:szCs w:val="32"/>
          <w:rtl/>
        </w:rPr>
        <w:t>لا</w:t>
      </w:r>
      <w:r w:rsidRPr="00793205">
        <w:rPr>
          <w:rStyle w:val="Char2"/>
          <w:rFonts w:hint="cs"/>
          <w:sz w:val="32"/>
          <w:szCs w:val="32"/>
          <w:rtl/>
        </w:rPr>
        <w:t xml:space="preserve"> </w:t>
      </w:r>
      <w:r w:rsidRPr="00793205">
        <w:rPr>
          <w:rStyle w:val="Char2"/>
          <w:sz w:val="32"/>
          <w:szCs w:val="32"/>
          <w:rtl/>
        </w:rPr>
        <w:t>تمنعوا إماء الله مساجد الله</w:t>
      </w:r>
      <w:r w:rsidRPr="00793205">
        <w:rPr>
          <w:rStyle w:val="Char2"/>
          <w:rFonts w:hint="cs"/>
          <w:sz w:val="32"/>
          <w:szCs w:val="32"/>
          <w:rtl/>
        </w:rPr>
        <w:t>»</w:t>
      </w:r>
      <w:r w:rsidRPr="00793205">
        <w:rPr>
          <w:color w:val="000000"/>
          <w:sz w:val="32"/>
          <w:szCs w:val="32"/>
          <w:rtl/>
        </w:rPr>
        <w:t xml:space="preserve"> [البخاري].</w:t>
      </w:r>
    </w:p>
    <w:p w:rsidR="00793205" w:rsidRPr="00793205" w:rsidRDefault="00793205" w:rsidP="00C613A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bookmarkStart w:id="0" w:name="_GoBack"/>
      <w:bookmarkEnd w:id="0"/>
      <w:r w:rsidRPr="00793205">
        <w:rPr>
          <w:b/>
          <w:bCs/>
          <w:color w:val="000000"/>
          <w:sz w:val="32"/>
          <w:szCs w:val="32"/>
          <w:rtl/>
        </w:rPr>
        <w:t>ثانيا: مناقشات ومراجعات بين الفقهاء والفقيهات في مسائل تدعم الرجل أو المر</w:t>
      </w:r>
      <w:r w:rsidRPr="00793205">
        <w:rPr>
          <w:rFonts w:hint="cs"/>
          <w:b/>
          <w:bCs/>
          <w:color w:val="000000"/>
          <w:sz w:val="32"/>
          <w:szCs w:val="32"/>
          <w:rtl/>
        </w:rPr>
        <w:t>أ</w:t>
      </w:r>
      <w:r w:rsidRPr="00793205">
        <w:rPr>
          <w:b/>
          <w:bCs/>
          <w:color w:val="000000"/>
          <w:sz w:val="32"/>
          <w:szCs w:val="32"/>
          <w:rtl/>
        </w:rPr>
        <w:t>ة، كان كل منهما يظن أنها لجانبه فلما ظهر له الدليل وقف عنده.</w:t>
      </w:r>
      <w:r w:rsidR="00C613A9">
        <w:rPr>
          <w:rFonts w:hint="cs"/>
          <w:color w:val="000000"/>
          <w:sz w:val="32"/>
          <w:szCs w:val="32"/>
          <w:rtl/>
        </w:rPr>
        <w:t xml:space="preserve"> </w:t>
      </w:r>
      <w:r>
        <w:rPr>
          <w:color w:val="000000"/>
          <w:sz w:val="32"/>
          <w:szCs w:val="32"/>
          <w:rtl/>
        </w:rPr>
        <w:t>من ذلك</w:t>
      </w:r>
      <w:r w:rsidRPr="00793205">
        <w:rPr>
          <w:rFonts w:hint="cs"/>
          <w:color w:val="000000"/>
          <w:sz w:val="32"/>
          <w:szCs w:val="32"/>
          <w:rtl/>
        </w:rPr>
        <w:t>:</w:t>
      </w:r>
      <w:r w:rsidRPr="00793205">
        <w:rPr>
          <w:color w:val="000000"/>
          <w:sz w:val="32"/>
          <w:szCs w:val="32"/>
          <w:rtl/>
        </w:rPr>
        <w:t xml:space="preserve"> عزم عمر رضي الله عنه على تحديد مهور النساء في اثنتي عشرة أوقية، فرأت امرأة في ذلك مخالفة للأدلة الشرعية ومساً بحق المرأة في الصداق، فردت عليه بقولها: يعطينا الله وتحرمنا، أليس الله سبحانه تعالى يقول: </w:t>
      </w:r>
      <w:r w:rsidRPr="00793205">
        <w:rPr>
          <w:rStyle w:val="Char0"/>
          <w:szCs w:val="32"/>
          <w:rtl/>
        </w:rPr>
        <w:t>{وَآتَيْتُمْ إِحْدَاهُنَّ قِنْطَارًا فَلَا تَأْخُذُوا مِنْهُ شَيْئًا}</w:t>
      </w:r>
      <w:r w:rsidRPr="00793205">
        <w:rPr>
          <w:color w:val="000000"/>
          <w:sz w:val="32"/>
          <w:szCs w:val="32"/>
          <w:rtl/>
        </w:rPr>
        <w:t xml:space="preserve"> [النساء: 20] فلما سمع الآية رجع إلى قول المرأة وقال كلمته المشهورة: أصابت امرأة وأخطأ عمر. </w:t>
      </w:r>
    </w:p>
    <w:p w:rsidR="00793205" w:rsidRPr="00793205" w:rsidRDefault="00793205" w:rsidP="0079320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b/>
          <w:bCs/>
          <w:color w:val="000000"/>
          <w:sz w:val="32"/>
          <w:szCs w:val="32"/>
          <w:rtl/>
        </w:rPr>
      </w:pPr>
      <w:r w:rsidRPr="00793205">
        <w:rPr>
          <w:b/>
          <w:bCs/>
          <w:color w:val="000000"/>
          <w:sz w:val="32"/>
          <w:szCs w:val="32"/>
          <w:rtl/>
        </w:rPr>
        <w:t>ثالثا: اتفاقات فقهاء وفقيهات على مسائل لصالح المرأة حينا</w:t>
      </w:r>
      <w:r w:rsidRPr="00793205">
        <w:rPr>
          <w:rFonts w:hint="cs"/>
          <w:b/>
          <w:bCs/>
          <w:color w:val="000000"/>
          <w:sz w:val="32"/>
          <w:szCs w:val="32"/>
          <w:rtl/>
        </w:rPr>
        <w:t>ً</w:t>
      </w:r>
      <w:r w:rsidRPr="00793205">
        <w:rPr>
          <w:b/>
          <w:bCs/>
          <w:color w:val="000000"/>
          <w:sz w:val="32"/>
          <w:szCs w:val="32"/>
          <w:rtl/>
        </w:rPr>
        <w:t xml:space="preserve"> ولصالح الرجل حينا</w:t>
      </w:r>
      <w:r w:rsidRPr="00793205">
        <w:rPr>
          <w:rFonts w:hint="cs"/>
          <w:b/>
          <w:bCs/>
          <w:color w:val="000000"/>
          <w:sz w:val="32"/>
          <w:szCs w:val="32"/>
          <w:rtl/>
        </w:rPr>
        <w:t>ً</w:t>
      </w:r>
      <w:r w:rsidRPr="00793205">
        <w:rPr>
          <w:b/>
          <w:bCs/>
          <w:color w:val="000000"/>
          <w:sz w:val="32"/>
          <w:szCs w:val="32"/>
          <w:rtl/>
        </w:rPr>
        <w:t xml:space="preserve"> آخر، التزاما بالدليل. </w:t>
      </w:r>
    </w:p>
    <w:p w:rsidR="00793205" w:rsidRPr="00793205" w:rsidRDefault="00C613A9" w:rsidP="00C613A9">
      <w:pPr>
        <w:tabs>
          <w:tab w:val="left" w:pos="565"/>
        </w:tabs>
        <w:spacing w:beforeLines="20" w:before="48" w:afterLines="20" w:after="48" w:line="247" w:lineRule="auto"/>
        <w:ind w:left="-341" w:right="-284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1- </w:t>
      </w:r>
      <w:r w:rsidR="00793205" w:rsidRPr="00793205">
        <w:rPr>
          <w:color w:val="000000"/>
          <w:sz w:val="32"/>
          <w:szCs w:val="32"/>
          <w:rtl/>
        </w:rPr>
        <w:t xml:space="preserve">مسائل اتفق عليها الفقهاء تبدو لصالح المرأة: منها  توريث الجدة أم الأم دون الجد أبي الأم، وإيجاب نفقة الزوجة على زوجها دون إيجاب نفقة الزوج على زوجته الغنية، </w:t>
      </w:r>
      <w:r>
        <w:rPr>
          <w:rFonts w:hint="cs"/>
          <w:color w:val="000000"/>
          <w:sz w:val="32"/>
          <w:szCs w:val="32"/>
          <w:rtl/>
        </w:rPr>
        <w:t xml:space="preserve">2- </w:t>
      </w:r>
      <w:r w:rsidR="00793205" w:rsidRPr="00793205">
        <w:rPr>
          <w:color w:val="000000"/>
          <w:sz w:val="32"/>
          <w:szCs w:val="32"/>
          <w:rtl/>
        </w:rPr>
        <w:t>مسائل اتفق عليها الفقهاء تبدو لصالح الرجل:  منها توريث العم دون العمة، وتوريث أبناء الابن دون أبناء البنت وإعطاء الزوج حق الطلاق والرجعة دون المرأة.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793205" w:rsidRPr="00793205">
        <w:rPr>
          <w:color w:val="000000"/>
          <w:sz w:val="32"/>
          <w:szCs w:val="32"/>
          <w:rtl/>
        </w:rPr>
        <w:t>فهذه الأحكام وغيرها كثير لم تأت لصالح الرجل ضد المرأة، بل جاءت لتحقق مصلحة الأمة، وتقدم مصلحة الجماعة على مصلحة الفرد.</w:t>
      </w:r>
    </w:p>
    <w:p w:rsidR="00F922A8" w:rsidRPr="00793205" w:rsidRDefault="00F922A8" w:rsidP="006E1A5B">
      <w:pPr>
        <w:jc w:val="center"/>
        <w:rPr>
          <w:color w:val="FF0000"/>
          <w:sz w:val="32"/>
          <w:szCs w:val="32"/>
          <w:rtl/>
        </w:rPr>
      </w:pPr>
      <w:r w:rsidRPr="00793205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793205" w:rsidSect="00793205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05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3205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613A9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602;&#1608;&#1575;&#1604;&#1576;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</Template>
  <TotalTime>20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2018-02-03T07:44:00Z</dcterms:created>
  <dcterms:modified xsi:type="dcterms:W3CDTF">2018-02-03T08:04:00Z</dcterms:modified>
</cp:coreProperties>
</file>